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4906" w14:textId="6DF72386" w:rsidR="008D4220" w:rsidRDefault="008D4220" w:rsidP="008D4220">
      <w:pPr>
        <w:rPr>
          <w:rFonts w:cs="Arial"/>
          <w:sz w:val="22"/>
        </w:rPr>
      </w:pPr>
      <w:bookmarkStart w:id="0" w:name="_Hlk60818874"/>
      <w:bookmarkStart w:id="1" w:name="_Hlk60819221"/>
      <w:bookmarkStart w:id="2" w:name="_Hlk153796361"/>
      <w:bookmarkEnd w:id="2"/>
      <w:r>
        <w:rPr>
          <w:rFonts w:cs="Arial"/>
          <w:sz w:val="22"/>
        </w:rPr>
        <w:t>18/12/2023</w:t>
      </w:r>
    </w:p>
    <w:p w14:paraId="431088D4" w14:textId="77777777" w:rsidR="008D4220" w:rsidRDefault="008D4220" w:rsidP="008D4220">
      <w:pPr>
        <w:rPr>
          <w:rFonts w:cs="Arial"/>
          <w:sz w:val="22"/>
        </w:rPr>
      </w:pPr>
      <w:r w:rsidRPr="00B00896">
        <w:rPr>
          <w:rFonts w:cs="Arial"/>
          <w:sz w:val="22"/>
        </w:rPr>
        <w:t>Dear Doctor</w:t>
      </w:r>
      <w:r>
        <w:rPr>
          <w:rFonts w:cs="Arial"/>
          <w:sz w:val="22"/>
        </w:rPr>
        <w:t xml:space="preserve"> / Pharmacist</w:t>
      </w:r>
    </w:p>
    <w:p w14:paraId="70255B1D" w14:textId="610957A7" w:rsidR="008D4220" w:rsidRPr="00D91122" w:rsidRDefault="317005D9" w:rsidP="008D4220">
      <w:pPr>
        <w:jc w:val="center"/>
        <w:rPr>
          <w:rFonts w:cs="Arial"/>
          <w:b/>
          <w:sz w:val="28"/>
          <w:szCs w:val="28"/>
        </w:rPr>
      </w:pPr>
      <w:r w:rsidRPr="7F851736">
        <w:rPr>
          <w:rFonts w:cs="Arial"/>
          <w:b/>
          <w:bCs/>
          <w:sz w:val="28"/>
          <w:szCs w:val="28"/>
        </w:rPr>
        <w:t xml:space="preserve">Public Health </w:t>
      </w:r>
      <w:r w:rsidR="008D4220" w:rsidRPr="7F851736">
        <w:rPr>
          <w:rFonts w:cs="Arial"/>
          <w:b/>
          <w:sz w:val="28"/>
          <w:szCs w:val="28"/>
        </w:rPr>
        <w:t xml:space="preserve">ALERT: </w:t>
      </w:r>
      <w:r w:rsidR="0AF6C099" w:rsidRPr="7F851736">
        <w:rPr>
          <w:rFonts w:cs="Arial"/>
          <w:b/>
          <w:bCs/>
          <w:sz w:val="28"/>
          <w:szCs w:val="28"/>
        </w:rPr>
        <w:t>F</w:t>
      </w:r>
      <w:r w:rsidR="008D4220" w:rsidRPr="7F851736">
        <w:rPr>
          <w:rFonts w:cs="Arial"/>
          <w:b/>
          <w:bCs/>
          <w:sz w:val="28"/>
          <w:szCs w:val="28"/>
        </w:rPr>
        <w:t>loods</w:t>
      </w:r>
      <w:r w:rsidR="008D4220" w:rsidRPr="7F851736">
        <w:rPr>
          <w:rFonts w:cs="Arial"/>
          <w:b/>
          <w:sz w:val="28"/>
          <w:szCs w:val="28"/>
        </w:rPr>
        <w:t xml:space="preserve"> in </w:t>
      </w:r>
      <w:r w:rsidR="008D4220" w:rsidRPr="7F851736">
        <w:rPr>
          <w:rFonts w:cs="Arial"/>
          <w:b/>
          <w:sz w:val="28"/>
          <w:szCs w:val="28"/>
        </w:rPr>
        <w:t>Far N</w:t>
      </w:r>
      <w:r w:rsidR="008D4220" w:rsidRPr="7F851736">
        <w:rPr>
          <w:rFonts w:cs="Arial"/>
          <w:b/>
          <w:sz w:val="28"/>
          <w:szCs w:val="28"/>
        </w:rPr>
        <w:t>orth Queensland</w:t>
      </w:r>
    </w:p>
    <w:p w14:paraId="07DBE880" w14:textId="496B87B2" w:rsidR="008D4220" w:rsidRDefault="008D4220" w:rsidP="008D4220">
      <w:pPr>
        <w:rPr>
          <w:rFonts w:cs="Arial"/>
          <w:sz w:val="22"/>
        </w:rPr>
      </w:pPr>
      <w:r>
        <w:rPr>
          <w:rFonts w:cs="Arial"/>
          <w:sz w:val="22"/>
        </w:rPr>
        <w:t>You will be playing a key role in our recovery from the prolonged flooding and associated disruptions in the region.</w:t>
      </w:r>
    </w:p>
    <w:p w14:paraId="4F2C8CD8" w14:textId="77777777" w:rsidR="008D4220" w:rsidRDefault="008D4220" w:rsidP="008D4220">
      <w:pPr>
        <w:rPr>
          <w:rFonts w:cs="Arial"/>
          <w:sz w:val="22"/>
        </w:rPr>
      </w:pPr>
      <w:r w:rsidRPr="00B00896">
        <w:rPr>
          <w:rFonts w:cs="Arial"/>
          <w:sz w:val="22"/>
        </w:rPr>
        <w:t xml:space="preserve">People </w:t>
      </w:r>
      <w:r>
        <w:rPr>
          <w:rFonts w:cs="Arial"/>
          <w:sz w:val="22"/>
        </w:rPr>
        <w:t>will be</w:t>
      </w:r>
      <w:r w:rsidRPr="00B00896">
        <w:rPr>
          <w:rFonts w:cs="Arial"/>
          <w:sz w:val="22"/>
        </w:rPr>
        <w:t xml:space="preserve"> cleaning up after heavy rains and flooding. This can cause injuries to unprotected hands and feet, and exposure to contaminated water or mud leads to infections. </w:t>
      </w:r>
      <w:r>
        <w:rPr>
          <w:rFonts w:cs="Arial"/>
          <w:sz w:val="22"/>
        </w:rPr>
        <w:t>Advise that</w:t>
      </w:r>
      <w:r w:rsidRPr="00B00896">
        <w:rPr>
          <w:rFonts w:cs="Arial"/>
          <w:sz w:val="22"/>
        </w:rPr>
        <w:t xml:space="preserve"> elderly and immune compromised people should not do the cleaning up at all. Please insist on protective gloves and footwear, and immediate washing, antiseptic and dressing of wounds. Many will need a tetanus booster</w:t>
      </w:r>
      <w:r>
        <w:rPr>
          <w:rFonts w:cs="Arial"/>
          <w:sz w:val="22"/>
        </w:rPr>
        <w:t>,</w:t>
      </w:r>
      <w:r w:rsidRPr="00B00896">
        <w:rPr>
          <w:rFonts w:cs="Arial"/>
          <w:sz w:val="22"/>
        </w:rPr>
        <w:t xml:space="preserve"> or immunoglobin if not already immune. </w:t>
      </w:r>
    </w:p>
    <w:p w14:paraId="34C3EE7F" w14:textId="77777777" w:rsidR="008D4220" w:rsidRDefault="008D4220" w:rsidP="008D4220">
      <w:pPr>
        <w:rPr>
          <w:rFonts w:cs="Arial"/>
          <w:sz w:val="22"/>
        </w:rPr>
      </w:pPr>
      <w:r>
        <w:rPr>
          <w:rFonts w:cs="Arial"/>
          <w:sz w:val="22"/>
        </w:rPr>
        <w:t xml:space="preserve">Rare weather events can lead to unusual diseases. </w:t>
      </w:r>
      <w:r w:rsidRPr="00B00896">
        <w:rPr>
          <w:rFonts w:cs="Arial"/>
          <w:sz w:val="22"/>
        </w:rPr>
        <w:t xml:space="preserve">We expect more cases of invasive environmental bacteria such as </w:t>
      </w:r>
      <w:r w:rsidRPr="00B00896">
        <w:rPr>
          <w:rFonts w:cs="Arial"/>
          <w:b/>
          <w:sz w:val="22"/>
        </w:rPr>
        <w:t>leptospirosis</w:t>
      </w:r>
      <w:r w:rsidRPr="00B00896">
        <w:rPr>
          <w:rFonts w:cs="Arial"/>
          <w:sz w:val="22"/>
        </w:rPr>
        <w:t xml:space="preserve"> and </w:t>
      </w:r>
      <w:r w:rsidRPr="00B00896">
        <w:rPr>
          <w:rFonts w:cs="Arial"/>
          <w:b/>
          <w:sz w:val="22"/>
        </w:rPr>
        <w:t>melioidosis</w:t>
      </w:r>
      <w:r w:rsidRPr="00B00896">
        <w:rPr>
          <w:rFonts w:cs="Arial"/>
          <w:sz w:val="22"/>
        </w:rPr>
        <w:t>. If you suspect either, call an infectious diseases physician and inform your local Public Health Unit.</w:t>
      </w:r>
    </w:p>
    <w:p w14:paraId="7F1F7A90" w14:textId="09044761" w:rsidR="00924533" w:rsidRDefault="00924533" w:rsidP="00924533">
      <w:pPr>
        <w:rPr>
          <w:rFonts w:cs="Arial"/>
          <w:sz w:val="22"/>
        </w:rPr>
      </w:pPr>
      <w:r w:rsidRPr="00B00896">
        <w:rPr>
          <w:rFonts w:cs="Arial"/>
          <w:b/>
          <w:sz w:val="22"/>
        </w:rPr>
        <w:t>Melioidosis</w:t>
      </w:r>
      <w:r w:rsidRPr="00B00896">
        <w:rPr>
          <w:rFonts w:cs="Arial"/>
          <w:sz w:val="22"/>
        </w:rPr>
        <w:t xml:space="preserve"> is caused by tropical soil bacteria. The incubation period </w:t>
      </w:r>
      <w:r>
        <w:rPr>
          <w:rFonts w:cs="Arial"/>
          <w:sz w:val="22"/>
        </w:rPr>
        <w:t xml:space="preserve">is </w:t>
      </w:r>
      <w:r w:rsidR="0078420B">
        <w:rPr>
          <w:rFonts w:cs="Arial"/>
          <w:sz w:val="22"/>
        </w:rPr>
        <w:t xml:space="preserve">two days </w:t>
      </w:r>
      <w:r w:rsidRPr="00B00896">
        <w:rPr>
          <w:rFonts w:cs="Arial"/>
          <w:sz w:val="22"/>
        </w:rPr>
        <w:t xml:space="preserve">to several weeks or longer. Exposure is </w:t>
      </w:r>
      <w:r>
        <w:rPr>
          <w:rFonts w:cs="Arial"/>
          <w:sz w:val="22"/>
        </w:rPr>
        <w:t>from</w:t>
      </w:r>
      <w:r w:rsidRPr="00B00896">
        <w:rPr>
          <w:rFonts w:cs="Arial"/>
          <w:sz w:val="22"/>
        </w:rPr>
        <w:t xml:space="preserve"> contaminated soil or water mainly through minor skin wounds</w:t>
      </w:r>
      <w:r w:rsidR="0078420B">
        <w:rPr>
          <w:rFonts w:cs="Arial"/>
          <w:sz w:val="22"/>
        </w:rPr>
        <w:t xml:space="preserve"> or direct </w:t>
      </w:r>
      <w:r w:rsidR="006506E3">
        <w:rPr>
          <w:rFonts w:cs="Arial"/>
          <w:sz w:val="22"/>
        </w:rPr>
        <w:t xml:space="preserve">ingestion or inhalation </w:t>
      </w:r>
      <w:r w:rsidR="0018006F">
        <w:rPr>
          <w:rFonts w:cs="Arial"/>
          <w:sz w:val="22"/>
        </w:rPr>
        <w:t>of contaminated water</w:t>
      </w:r>
      <w:r w:rsidRPr="00B00896">
        <w:rPr>
          <w:rFonts w:cs="Arial"/>
          <w:sz w:val="22"/>
        </w:rPr>
        <w:t xml:space="preserve">. Most cases have underlying risk factors: diabetes, chronic renal failure, lung disease, old age, immune compromise or </w:t>
      </w:r>
      <w:r>
        <w:rPr>
          <w:rFonts w:cs="Arial"/>
          <w:sz w:val="22"/>
        </w:rPr>
        <w:t>alcohol use disorders</w:t>
      </w:r>
      <w:r w:rsidRPr="00B00896">
        <w:rPr>
          <w:rFonts w:cs="Arial"/>
          <w:sz w:val="22"/>
        </w:rPr>
        <w:t>. Many more people are exposed following periods of heavy rain and flooding.</w:t>
      </w:r>
    </w:p>
    <w:p w14:paraId="75ADD940" w14:textId="77777777" w:rsidR="00924533" w:rsidRPr="00B00896" w:rsidRDefault="00924533" w:rsidP="00924533">
      <w:pPr>
        <w:rPr>
          <w:rFonts w:cs="Arial"/>
          <w:sz w:val="22"/>
        </w:rPr>
      </w:pPr>
      <w:r w:rsidRPr="00B00896">
        <w:rPr>
          <w:rFonts w:cs="Arial"/>
          <w:sz w:val="22"/>
        </w:rPr>
        <w:t xml:space="preserve">The bacteria may be cultured from blood, skin lesions, urine samples or throat swabs. Patients usually present as pneumonia with or without sepsis, but sometimes with ulcers or abscesses of skin, kidney, spleen or prostate. </w:t>
      </w:r>
      <w:r>
        <w:rPr>
          <w:rFonts w:cs="Arial"/>
          <w:sz w:val="22"/>
        </w:rPr>
        <w:t>Sepsis</w:t>
      </w:r>
      <w:r w:rsidRPr="00B00896">
        <w:rPr>
          <w:rFonts w:cs="Arial"/>
          <w:sz w:val="22"/>
        </w:rPr>
        <w:t xml:space="preserve"> is rapidly fatal</w:t>
      </w:r>
      <w:r>
        <w:rPr>
          <w:rFonts w:cs="Arial"/>
          <w:sz w:val="22"/>
        </w:rPr>
        <w:t xml:space="preserve"> without recognition and treatment</w:t>
      </w:r>
      <w:r w:rsidRPr="00B00896">
        <w:rPr>
          <w:rFonts w:cs="Arial"/>
          <w:sz w:val="22"/>
        </w:rPr>
        <w:t xml:space="preserve">. </w:t>
      </w:r>
    </w:p>
    <w:p w14:paraId="58BB97DA" w14:textId="77777777" w:rsidR="008D4220" w:rsidRPr="00B00896" w:rsidRDefault="008D4220" w:rsidP="008D4220">
      <w:pPr>
        <w:rPr>
          <w:rFonts w:cs="Arial"/>
          <w:sz w:val="22"/>
        </w:rPr>
      </w:pPr>
      <w:r w:rsidRPr="00B00896">
        <w:rPr>
          <w:rFonts w:cs="Arial"/>
          <w:b/>
          <w:sz w:val="22"/>
        </w:rPr>
        <w:t>Leptospirosis</w:t>
      </w:r>
      <w:r w:rsidRPr="00B00896">
        <w:rPr>
          <w:rFonts w:cs="Arial"/>
          <w:sz w:val="22"/>
        </w:rPr>
        <w:t xml:space="preserve"> is a zoonotic bacterium excreted in the urine of domestic and wild mammals. Human exposure is through skin or mucous membranes</w:t>
      </w:r>
      <w:r>
        <w:rPr>
          <w:rFonts w:cs="Arial"/>
          <w:sz w:val="22"/>
        </w:rPr>
        <w:t xml:space="preserve"> in wet environments</w:t>
      </w:r>
      <w:r w:rsidRPr="00B00896">
        <w:rPr>
          <w:rFonts w:cs="Arial"/>
          <w:sz w:val="22"/>
        </w:rPr>
        <w:t xml:space="preserve"> </w:t>
      </w:r>
      <w:r>
        <w:rPr>
          <w:rFonts w:cs="Arial"/>
          <w:sz w:val="22"/>
        </w:rPr>
        <w:t>(</w:t>
      </w:r>
      <w:r w:rsidRPr="00B00896">
        <w:rPr>
          <w:rFonts w:cs="Arial"/>
          <w:sz w:val="22"/>
        </w:rPr>
        <w:t>infection by drinking contaminated water or inhaling aerosols is less common</w:t>
      </w:r>
      <w:r>
        <w:rPr>
          <w:rFonts w:cs="Arial"/>
          <w:sz w:val="22"/>
        </w:rPr>
        <w:t>)</w:t>
      </w:r>
      <w:r w:rsidRPr="00B00896">
        <w:rPr>
          <w:rFonts w:cs="Arial"/>
          <w:sz w:val="22"/>
        </w:rPr>
        <w:t xml:space="preserve">. </w:t>
      </w:r>
      <w:r>
        <w:rPr>
          <w:rFonts w:cs="Arial"/>
          <w:sz w:val="22"/>
        </w:rPr>
        <w:t>F</w:t>
      </w:r>
      <w:r w:rsidRPr="00B00896">
        <w:rPr>
          <w:rFonts w:cs="Arial"/>
          <w:sz w:val="22"/>
        </w:rPr>
        <w:t>arm workers, river swimmers and sportspeople are the usual risk groups</w:t>
      </w:r>
      <w:r>
        <w:rPr>
          <w:rFonts w:cs="Arial"/>
          <w:sz w:val="22"/>
        </w:rPr>
        <w:t>, but</w:t>
      </w:r>
      <w:r w:rsidRPr="00B00896">
        <w:rPr>
          <w:rFonts w:cs="Arial"/>
          <w:sz w:val="22"/>
        </w:rPr>
        <w:t xml:space="preserve"> </w:t>
      </w:r>
      <w:r>
        <w:rPr>
          <w:rFonts w:cs="Arial"/>
          <w:sz w:val="22"/>
        </w:rPr>
        <w:t>d</w:t>
      </w:r>
      <w:r w:rsidRPr="00B00896">
        <w:rPr>
          <w:rFonts w:cs="Arial"/>
          <w:sz w:val="22"/>
        </w:rPr>
        <w:t xml:space="preserve">uring periods of heavy rainfall and flooding, many more people are exposed to contaminated waters. </w:t>
      </w:r>
    </w:p>
    <w:p w14:paraId="10F175BC" w14:textId="77777777" w:rsidR="008D4220" w:rsidRPr="00B00896" w:rsidRDefault="008D4220" w:rsidP="008D4220">
      <w:pPr>
        <w:rPr>
          <w:rFonts w:cs="Arial"/>
          <w:sz w:val="22"/>
        </w:rPr>
      </w:pPr>
      <w:r w:rsidRPr="00B00896">
        <w:rPr>
          <w:rFonts w:cs="Arial"/>
          <w:sz w:val="22"/>
        </w:rPr>
        <w:t xml:space="preserve">The incubation period is 5-14 days. Patients present with abrupt fever, headaches and myalgia. About 30% have red eyes. Around 10% progress to jaundice, hypotension, renal and/or respiratory failure, requiring hospitalisation. Testing is based on days since onset: </w:t>
      </w:r>
    </w:p>
    <w:p w14:paraId="1A3E6F03" w14:textId="77777777" w:rsidR="008D4220" w:rsidRPr="00B00896" w:rsidRDefault="008D4220" w:rsidP="008D4220">
      <w:pPr>
        <w:numPr>
          <w:ilvl w:val="0"/>
          <w:numId w:val="9"/>
        </w:numPr>
        <w:spacing w:after="0"/>
        <w:rPr>
          <w:rFonts w:cs="Arial"/>
          <w:b/>
          <w:sz w:val="22"/>
        </w:rPr>
      </w:pPr>
      <w:r w:rsidRPr="00B00896">
        <w:rPr>
          <w:rFonts w:cs="Arial"/>
          <w:sz w:val="22"/>
        </w:rPr>
        <w:t xml:space="preserve">&lt; 7 days after onset: serum for </w:t>
      </w:r>
      <w:r w:rsidRPr="00B00896">
        <w:rPr>
          <w:rFonts w:cs="Arial"/>
          <w:b/>
          <w:sz w:val="22"/>
        </w:rPr>
        <w:t>PCR</w:t>
      </w:r>
      <w:r w:rsidRPr="00B00896">
        <w:rPr>
          <w:rFonts w:cs="Arial"/>
          <w:sz w:val="22"/>
        </w:rPr>
        <w:t xml:space="preserve"> and </w:t>
      </w:r>
      <w:r w:rsidRPr="00B00896">
        <w:rPr>
          <w:rFonts w:cs="Arial"/>
          <w:b/>
          <w:sz w:val="22"/>
        </w:rPr>
        <w:t xml:space="preserve">blood culture </w:t>
      </w:r>
    </w:p>
    <w:p w14:paraId="68358507" w14:textId="77777777" w:rsidR="008D4220" w:rsidRPr="00B00896" w:rsidRDefault="008D4220" w:rsidP="008D4220">
      <w:pPr>
        <w:numPr>
          <w:ilvl w:val="0"/>
          <w:numId w:val="9"/>
        </w:numPr>
        <w:spacing w:after="0"/>
        <w:rPr>
          <w:rFonts w:cs="Arial"/>
          <w:sz w:val="22"/>
        </w:rPr>
      </w:pPr>
      <w:r w:rsidRPr="00B00896">
        <w:rPr>
          <w:rFonts w:cs="Arial"/>
          <w:sz w:val="22"/>
        </w:rPr>
        <w:t>7-10 days: serum for culture IgM and MAT (micro agglutination titre)</w:t>
      </w:r>
    </w:p>
    <w:p w14:paraId="683D4D8F" w14:textId="77777777" w:rsidR="008D4220" w:rsidRPr="00B00896" w:rsidRDefault="008D4220" w:rsidP="008D4220">
      <w:pPr>
        <w:numPr>
          <w:ilvl w:val="0"/>
          <w:numId w:val="9"/>
        </w:numPr>
        <w:spacing w:after="0"/>
        <w:rPr>
          <w:rFonts w:cs="Arial"/>
          <w:sz w:val="22"/>
        </w:rPr>
      </w:pPr>
      <w:r w:rsidRPr="00B00896">
        <w:rPr>
          <w:rFonts w:cs="Arial"/>
          <w:sz w:val="22"/>
        </w:rPr>
        <w:t xml:space="preserve">&gt; 10 days after onset: serum for IgM and MAT </w:t>
      </w:r>
    </w:p>
    <w:p w14:paraId="19355F7E" w14:textId="77777777" w:rsidR="008D4220" w:rsidRDefault="008D4220" w:rsidP="008D4220">
      <w:pPr>
        <w:rPr>
          <w:rFonts w:cs="Arial"/>
          <w:b/>
          <w:sz w:val="22"/>
        </w:rPr>
      </w:pPr>
    </w:p>
    <w:p w14:paraId="704D750C" w14:textId="77777777" w:rsidR="008D4220" w:rsidRDefault="008D4220" w:rsidP="008D4220">
      <w:pPr>
        <w:rPr>
          <w:rFonts w:cs="Arial"/>
          <w:b/>
          <w:bCs/>
          <w:sz w:val="22"/>
        </w:rPr>
      </w:pPr>
      <w:r>
        <w:rPr>
          <w:rFonts w:cs="Arial"/>
          <w:b/>
          <w:bCs/>
          <w:sz w:val="22"/>
        </w:rPr>
        <w:br/>
      </w:r>
      <w:r>
        <w:rPr>
          <w:rFonts w:cs="Arial"/>
          <w:b/>
          <w:bCs/>
          <w:sz w:val="22"/>
        </w:rPr>
        <w:br/>
      </w:r>
    </w:p>
    <w:p w14:paraId="4544E9CB" w14:textId="77777777" w:rsidR="008D4220" w:rsidRDefault="008D4220">
      <w:pPr>
        <w:rPr>
          <w:rFonts w:cs="Arial"/>
          <w:b/>
          <w:bCs/>
          <w:sz w:val="22"/>
        </w:rPr>
      </w:pPr>
      <w:r>
        <w:rPr>
          <w:rFonts w:cs="Arial"/>
          <w:b/>
          <w:bCs/>
          <w:sz w:val="22"/>
        </w:rPr>
        <w:br w:type="page"/>
      </w:r>
    </w:p>
    <w:p w14:paraId="2684AB4E" w14:textId="669034C2" w:rsidR="008D4220" w:rsidRPr="008D4220" w:rsidRDefault="008D4220" w:rsidP="008D4220">
      <w:pPr>
        <w:rPr>
          <w:rFonts w:cs="Arial"/>
          <w:b/>
          <w:bCs/>
          <w:sz w:val="22"/>
        </w:rPr>
      </w:pPr>
      <w:r w:rsidRPr="008D4220">
        <w:rPr>
          <w:rFonts w:cs="Arial"/>
          <w:b/>
          <w:bCs/>
          <w:sz w:val="22"/>
        </w:rPr>
        <w:lastRenderedPageBreak/>
        <w:t>Food Safety</w:t>
      </w:r>
    </w:p>
    <w:p w14:paraId="44B53E89" w14:textId="548FAA4A" w:rsidR="008D4220" w:rsidRDefault="008D4220" w:rsidP="008D4220">
      <w:pPr>
        <w:rPr>
          <w:rFonts w:cs="Arial"/>
          <w:sz w:val="22"/>
        </w:rPr>
      </w:pPr>
      <w:r>
        <w:rPr>
          <w:rFonts w:cs="Arial"/>
          <w:sz w:val="22"/>
        </w:rPr>
        <w:t xml:space="preserve">People displaced, re-entering inundated homes or after power-interruption face a variety of risks related to food spoilage, contamination and general hygiene. Most will be ordinary infections including viral </w:t>
      </w:r>
      <w:proofErr w:type="gramStart"/>
      <w:r>
        <w:rPr>
          <w:rFonts w:cs="Arial"/>
          <w:sz w:val="22"/>
        </w:rPr>
        <w:t>gastroenteritis</w:t>
      </w:r>
      <w:proofErr w:type="gramEnd"/>
      <w:r>
        <w:rPr>
          <w:rFonts w:cs="Arial"/>
          <w:sz w:val="22"/>
        </w:rPr>
        <w:t xml:space="preserve"> but food poisoning is possible too. </w:t>
      </w:r>
    </w:p>
    <w:p w14:paraId="6DC0FD36" w14:textId="44C831A0" w:rsidR="008D4220" w:rsidRDefault="008D4220" w:rsidP="008D4220">
      <w:pPr>
        <w:rPr>
          <w:rFonts w:cs="Arial"/>
          <w:sz w:val="22"/>
        </w:rPr>
      </w:pPr>
      <w:r>
        <w:rPr>
          <w:rFonts w:cs="Arial"/>
          <w:sz w:val="22"/>
        </w:rPr>
        <w:t>Remember that “</w:t>
      </w:r>
      <w:r w:rsidRPr="00196370">
        <w:rPr>
          <w:rFonts w:cs="Arial"/>
          <w:b/>
          <w:sz w:val="22"/>
        </w:rPr>
        <w:t>Food or water-borne illness in 2 or more cases</w:t>
      </w:r>
      <w:r>
        <w:rPr>
          <w:rFonts w:cs="Arial"/>
          <w:sz w:val="22"/>
        </w:rPr>
        <w:t xml:space="preserve">” is one of the </w:t>
      </w:r>
      <w:r w:rsidRPr="00196370">
        <w:rPr>
          <w:rFonts w:cs="Arial"/>
          <w:b/>
          <w:sz w:val="22"/>
        </w:rPr>
        <w:t>clinical Notifiable Disease</w:t>
      </w:r>
      <w:r>
        <w:rPr>
          <w:rFonts w:cs="Arial"/>
          <w:b/>
          <w:sz w:val="22"/>
        </w:rPr>
        <w:t xml:space="preserve">s </w:t>
      </w:r>
      <w:r w:rsidR="00B02BB0" w:rsidRPr="00B02BB0">
        <w:rPr>
          <w:rFonts w:cs="Arial"/>
          <w:bCs/>
          <w:sz w:val="22"/>
        </w:rPr>
        <w:t>t</w:t>
      </w:r>
      <w:r>
        <w:rPr>
          <w:rFonts w:cs="Arial"/>
          <w:sz w:val="22"/>
        </w:rPr>
        <w:t>hat you must inform the Public Health Unit of before lab confirmation.</w:t>
      </w:r>
    </w:p>
    <w:p w14:paraId="7CE2D1CB" w14:textId="77777777" w:rsidR="008D4220" w:rsidRDefault="008D4220" w:rsidP="008D4220">
      <w:pPr>
        <w:rPr>
          <w:rFonts w:cs="Arial"/>
          <w:sz w:val="22"/>
        </w:rPr>
      </w:pPr>
      <w:r>
        <w:rPr>
          <w:rFonts w:cs="Arial"/>
          <w:sz w:val="22"/>
        </w:rPr>
        <w:t>We have a variety of fact sheets for your patients on disaster issues, and guidance for doctors.</w:t>
      </w:r>
    </w:p>
    <w:p w14:paraId="24974A31" w14:textId="77777777" w:rsidR="008D4220" w:rsidRDefault="008D4220" w:rsidP="008D4220">
      <w:pPr>
        <w:rPr>
          <w:rFonts w:cs="Arial"/>
          <w:sz w:val="22"/>
        </w:rPr>
      </w:pPr>
      <w:r w:rsidRPr="00B00896">
        <w:rPr>
          <w:rFonts w:cs="Arial"/>
          <w:sz w:val="22"/>
        </w:rPr>
        <w:t>For further information see:</w:t>
      </w:r>
    </w:p>
    <w:p w14:paraId="0D780DF3" w14:textId="77777777" w:rsidR="008D4220" w:rsidRDefault="008D4220" w:rsidP="008D4220">
      <w:pPr>
        <w:rPr>
          <w:rFonts w:cs="Arial"/>
          <w:sz w:val="22"/>
          <w:lang w:val="en"/>
        </w:rPr>
      </w:pPr>
      <w:hyperlink r:id="rId8" w:history="1">
        <w:r>
          <w:rPr>
            <w:rStyle w:val="Hyperlink"/>
          </w:rPr>
          <w:t>https://publications.qld.gov</w:t>
        </w:r>
        <w:r>
          <w:rPr>
            <w:rStyle w:val="Hyperlink"/>
          </w:rPr>
          <w:t>.</w:t>
        </w:r>
        <w:r>
          <w:rPr>
            <w:rStyle w:val="Hyperlink"/>
          </w:rPr>
          <w:t>au/dataset/public-health-disaster-management-fact-sheets</w:t>
        </w:r>
      </w:hyperlink>
    </w:p>
    <w:p w14:paraId="316096CD" w14:textId="77777777" w:rsidR="008D4220" w:rsidRDefault="008D4220" w:rsidP="008D4220">
      <w:pPr>
        <w:rPr>
          <w:rFonts w:cs="Arial"/>
          <w:sz w:val="22"/>
          <w:lang w:val="en"/>
        </w:rPr>
      </w:pPr>
      <w:hyperlink r:id="rId9" w:history="1">
        <w:r w:rsidRPr="00A46517">
          <w:rPr>
            <w:rStyle w:val="Hyperlink"/>
            <w:rFonts w:cs="Arial"/>
            <w:sz w:val="22"/>
            <w:lang w:val="en"/>
          </w:rPr>
          <w:t>http://disease-control.health.qld.gov.au/Condition/722/leptospirosis</w:t>
        </w:r>
      </w:hyperlink>
    </w:p>
    <w:p w14:paraId="7893103F" w14:textId="79421783" w:rsidR="008D4220" w:rsidRDefault="008D4220" w:rsidP="008D4220">
      <w:pPr>
        <w:rPr>
          <w:rFonts w:cs="Arial"/>
          <w:sz w:val="22"/>
        </w:rPr>
      </w:pPr>
      <w:hyperlink r:id="rId10" w:history="1">
        <w:r w:rsidRPr="00B00896">
          <w:rPr>
            <w:rStyle w:val="Hyperlink"/>
            <w:rFonts w:cs="Arial"/>
            <w:sz w:val="22"/>
            <w:lang w:val="en"/>
          </w:rPr>
          <w:t>http://disease-control.health.qld.gov.au/Condition/766/melioidosis</w:t>
        </w:r>
      </w:hyperlink>
      <w:r w:rsidRPr="00B00896">
        <w:rPr>
          <w:rFonts w:cs="Arial"/>
          <w:sz w:val="22"/>
        </w:rPr>
        <w:t xml:space="preserve"> </w:t>
      </w:r>
    </w:p>
    <w:p w14:paraId="7757A314" w14:textId="77777777" w:rsidR="00B64C8E" w:rsidRPr="00B64C8E" w:rsidRDefault="00B64C8E" w:rsidP="008D4220">
      <w:pPr>
        <w:rPr>
          <w:rFonts w:cs="Arial"/>
          <w:sz w:val="22"/>
        </w:rPr>
      </w:pPr>
    </w:p>
    <w:p w14:paraId="7D571137" w14:textId="297A905A" w:rsidR="008D4220" w:rsidRDefault="28BA376A" w:rsidP="7F851736">
      <w:pPr>
        <w:rPr>
          <w:rFonts w:cs="Arial"/>
          <w:b/>
          <w:bCs/>
          <w:sz w:val="22"/>
        </w:rPr>
      </w:pPr>
      <w:r w:rsidRPr="7F851736">
        <w:rPr>
          <w:rFonts w:cs="Arial"/>
          <w:b/>
          <w:bCs/>
          <w:sz w:val="22"/>
        </w:rPr>
        <w:t>Yours Sincerely</w:t>
      </w:r>
    </w:p>
    <w:p w14:paraId="7980F62E" w14:textId="2051CEBC" w:rsidR="008D4220" w:rsidRDefault="001A76D3" w:rsidP="7F851736">
      <w:pPr>
        <w:rPr>
          <w:rFonts w:cs="Arial"/>
          <w:b/>
          <w:bCs/>
          <w:sz w:val="22"/>
        </w:rPr>
      </w:pPr>
      <w:r w:rsidRPr="00595058">
        <w:rPr>
          <w:noProof/>
        </w:rPr>
        <w:drawing>
          <wp:inline distT="0" distB="0" distL="0" distR="0" wp14:anchorId="7D74B937" wp14:editId="01F278A8">
            <wp:extent cx="8572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p>
    <w:p w14:paraId="6047E88E" w14:textId="002EC8F1" w:rsidR="008D4220" w:rsidRDefault="28BA376A" w:rsidP="7F851736">
      <w:pPr>
        <w:rPr>
          <w:rFonts w:cs="Arial"/>
          <w:b/>
          <w:bCs/>
          <w:sz w:val="22"/>
        </w:rPr>
      </w:pPr>
      <w:r w:rsidRPr="7F851736">
        <w:rPr>
          <w:rFonts w:cs="Arial"/>
          <w:b/>
          <w:bCs/>
          <w:sz w:val="22"/>
        </w:rPr>
        <w:t>Dr Richard Gair</w:t>
      </w:r>
    </w:p>
    <w:p w14:paraId="149B9592" w14:textId="5E792F54" w:rsidR="008D4220" w:rsidRDefault="28BA376A" w:rsidP="008D4220">
      <w:pPr>
        <w:rPr>
          <w:rFonts w:cs="Arial"/>
          <w:b/>
          <w:sz w:val="22"/>
        </w:rPr>
      </w:pPr>
      <w:r w:rsidRPr="7F851736">
        <w:rPr>
          <w:rFonts w:cs="Arial"/>
          <w:b/>
          <w:bCs/>
          <w:sz w:val="22"/>
        </w:rPr>
        <w:t>Director Tropical Public Health Services (Cairns)</w:t>
      </w:r>
      <w:r w:rsidR="008D4220" w:rsidRPr="7F851736">
        <w:rPr>
          <w:rFonts w:cs="Arial"/>
          <w:b/>
          <w:bCs/>
          <w:sz w:val="22"/>
        </w:rPr>
        <w:t xml:space="preserve"> </w:t>
      </w:r>
    </w:p>
    <w:p w14:paraId="7E88392D" w14:textId="634C19AC" w:rsidR="7F851736" w:rsidRDefault="7F851736" w:rsidP="7F851736">
      <w:pPr>
        <w:rPr>
          <w:rFonts w:cs="Arial"/>
          <w:sz w:val="22"/>
        </w:rPr>
      </w:pPr>
    </w:p>
    <w:p w14:paraId="27461073" w14:textId="5D47A02F" w:rsidR="7F851736" w:rsidRDefault="7F851736" w:rsidP="7F851736">
      <w:pPr>
        <w:rPr>
          <w:rFonts w:cs="Arial"/>
          <w:sz w:val="22"/>
        </w:rPr>
      </w:pPr>
    </w:p>
    <w:p w14:paraId="3BECCC91" w14:textId="251508AA" w:rsidR="001F7115" w:rsidRDefault="001F7115" w:rsidP="008D4220"/>
    <w:bookmarkEnd w:id="0"/>
    <w:bookmarkEnd w:id="1"/>
    <w:sectPr w:rsidR="001F7115" w:rsidSect="00E94415">
      <w:headerReference w:type="default" r:id="rId12"/>
      <w:footerReference w:type="default" r:id="rId13"/>
      <w:headerReference w:type="first" r:id="rId14"/>
      <w:footerReference w:type="first" r:id="rId15"/>
      <w:pgSz w:w="11906" w:h="16838" w:code="9"/>
      <w:pgMar w:top="1701" w:right="851" w:bottom="1418" w:left="851" w:header="130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F814" w14:textId="77777777" w:rsidR="008D4220" w:rsidRDefault="008D4220" w:rsidP="009A3EAD">
      <w:r>
        <w:separator/>
      </w:r>
    </w:p>
  </w:endnote>
  <w:endnote w:type="continuationSeparator" w:id="0">
    <w:p w14:paraId="6E92781E" w14:textId="77777777" w:rsidR="008D4220" w:rsidRDefault="008D4220" w:rsidP="009A3EAD">
      <w:r>
        <w:continuationSeparator/>
      </w:r>
    </w:p>
  </w:endnote>
  <w:endnote w:type="continuationNotice" w:id="1">
    <w:p w14:paraId="00B3A21A" w14:textId="77777777" w:rsidR="00163EA8" w:rsidRDefault="00163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6F02" w14:textId="77777777" w:rsidR="005553AD" w:rsidRDefault="005553AD" w:rsidP="00922920">
    <w:pPr>
      <w:pStyle w:val="Caption"/>
    </w:pPr>
  </w:p>
  <w:p w14:paraId="42967F1C" w14:textId="77777777" w:rsidR="004F5460" w:rsidRPr="004F5460" w:rsidRDefault="004F5460" w:rsidP="004F5460">
    <w:pPr>
      <w:rPr>
        <w:lang w:eastAsia="en-AU"/>
      </w:rPr>
    </w:pPr>
  </w:p>
  <w:p w14:paraId="229737C8" w14:textId="77777777" w:rsidR="005553AD" w:rsidRDefault="005553AD" w:rsidP="00894D5A">
    <w:pPr>
      <w:pStyle w:val="Caption"/>
      <w:ind w:left="-284"/>
    </w:pPr>
  </w:p>
  <w:p w14:paraId="1E43A8A2" w14:textId="77777777" w:rsidR="005553AD" w:rsidRDefault="005553AD" w:rsidP="005553AD">
    <w:pPr>
      <w:pStyle w:val="Caption"/>
      <w:ind w:left="-284"/>
    </w:pPr>
  </w:p>
  <w:p w14:paraId="24A91270" w14:textId="77777777" w:rsidR="00EB341B" w:rsidRPr="00894D5A" w:rsidRDefault="00894D5A" w:rsidP="00922920">
    <w:pPr>
      <w:pStyle w:val="Caption"/>
    </w:pPr>
    <w:r w:rsidRPr="00FE7D13">
      <w:t xml:space="preserve">Page </w:t>
    </w:r>
    <w:r w:rsidRPr="00FE7D13">
      <w:fldChar w:fldCharType="begin"/>
    </w:r>
    <w:r w:rsidRPr="00FE7D13">
      <w:instrText xml:space="preserve"> PAGE </w:instrText>
    </w:r>
    <w:r w:rsidRPr="00FE7D13">
      <w:fldChar w:fldCharType="separate"/>
    </w:r>
    <w:r w:rsidR="00267643">
      <w:rPr>
        <w:noProof/>
      </w:rPr>
      <w:t>2</w:t>
    </w:r>
    <w:r w:rsidRPr="00FE7D13">
      <w:fldChar w:fldCharType="end"/>
    </w:r>
    <w:r w:rsidRPr="00FE7D13">
      <w:t xml:space="preserve"> of </w:t>
    </w:r>
    <w:r w:rsidR="00051EF9">
      <w:fldChar w:fldCharType="begin"/>
    </w:r>
    <w:r w:rsidR="00051EF9">
      <w:instrText xml:space="preserve"> NUMPAGES </w:instrText>
    </w:r>
    <w:r w:rsidR="00051EF9">
      <w:fldChar w:fldCharType="separate"/>
    </w:r>
    <w:r w:rsidR="00267643">
      <w:rPr>
        <w:noProof/>
      </w:rPr>
      <w:t>2</w:t>
    </w:r>
    <w:r w:rsidR="00051EF9">
      <w:rPr>
        <w:noProof/>
      </w:rPr>
      <w:fldChar w:fldCharType="end"/>
    </w:r>
    <w:r w:rsidR="00EB34DE">
      <w:rPr>
        <w:noProof/>
      </w:rPr>
      <w:drawing>
        <wp:anchor distT="0" distB="0" distL="114300" distR="114300" simplePos="0" relativeHeight="251658244" behindDoc="1" locked="0" layoutInCell="1" allowOverlap="1" wp14:anchorId="3836DFC8" wp14:editId="2C33DE90">
          <wp:simplePos x="1296670" y="9431020"/>
          <wp:positionH relativeFrom="page">
            <wp:align>right</wp:align>
          </wp:positionH>
          <wp:positionV relativeFrom="page">
            <wp:align>bottom</wp:align>
          </wp:positionV>
          <wp:extent cx="15102000" cy="926900"/>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91302"/>
                  <a:stretch/>
                </pic:blipFill>
                <pic:spPr bwMode="auto">
                  <a:xfrm>
                    <a:off x="0" y="0"/>
                    <a:ext cx="15102000" cy="92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E19B" w14:textId="77777777" w:rsidR="001206F5" w:rsidRDefault="001206F5" w:rsidP="00894D5A">
    <w:pPr>
      <w:pStyle w:val="Caption"/>
      <w:ind w:left="-284"/>
      <w:rPr>
        <w:noProof/>
      </w:rPr>
    </w:pPr>
  </w:p>
  <w:p w14:paraId="2282FDA8" w14:textId="77777777" w:rsidR="00CB3D09" w:rsidRDefault="00C55FE2" w:rsidP="00894D5A">
    <w:pPr>
      <w:pStyle w:val="Caption"/>
      <w:ind w:left="-284"/>
      <w:rPr>
        <w:noProof/>
      </w:rPr>
    </w:pPr>
    <w:r>
      <w:rPr>
        <w:noProof/>
      </w:rPr>
      <w:t>.</w:t>
    </w:r>
    <w:r w:rsidR="00CB3D09" w:rsidRPr="00CB3D09">
      <w:rPr>
        <w:noProof/>
      </w:rPr>
      <w:t xml:space="preserve"> </w:t>
    </w:r>
  </w:p>
  <w:p w14:paraId="1649E3BC" w14:textId="77777777" w:rsidR="00CB3D09" w:rsidRDefault="00CB3D09" w:rsidP="00894D5A">
    <w:pPr>
      <w:pStyle w:val="Caption"/>
      <w:ind w:left="-284"/>
      <w:rPr>
        <w:noProof/>
      </w:rPr>
    </w:pPr>
  </w:p>
  <w:p w14:paraId="2BB264A3" w14:textId="77777777" w:rsidR="00EB341B" w:rsidRPr="00894D5A" w:rsidRDefault="00E94415" w:rsidP="00894D5A">
    <w:pPr>
      <w:pStyle w:val="Caption"/>
      <w:ind w:left="-284"/>
    </w:pPr>
    <w:r>
      <w:rPr>
        <w:noProof/>
      </w:rPr>
      <w:drawing>
        <wp:inline distT="0" distB="0" distL="0" distR="0" wp14:anchorId="6DC97F41" wp14:editId="6623E456">
          <wp:extent cx="4645025" cy="4533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5025" cy="453390"/>
                  </a:xfrm>
                  <a:prstGeom prst="rect">
                    <a:avLst/>
                  </a:prstGeom>
                  <a:noFill/>
                  <a:ln>
                    <a:noFill/>
                  </a:ln>
                </pic:spPr>
              </pic:pic>
            </a:graphicData>
          </a:graphic>
        </wp:inline>
      </w:drawing>
    </w:r>
    <w:r w:rsidR="00C55FE2">
      <w:rPr>
        <w:noProof/>
      </w:rPr>
      <w:drawing>
        <wp:anchor distT="0" distB="0" distL="114300" distR="114300" simplePos="0" relativeHeight="251658240" behindDoc="1" locked="0" layoutInCell="1" allowOverlap="1" wp14:anchorId="09FB9DAC" wp14:editId="14DC8E94">
          <wp:simplePos x="504190" y="9099550"/>
          <wp:positionH relativeFrom="page">
            <wp:align>right</wp:align>
          </wp:positionH>
          <wp:positionV relativeFrom="page">
            <wp:align>bottom</wp:align>
          </wp:positionV>
          <wp:extent cx="15102000" cy="1123200"/>
          <wp:effectExtent l="0" t="0" r="0" b="127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89467"/>
                  <a:stretch/>
                </pic:blipFill>
                <pic:spPr bwMode="auto">
                  <a:xfrm>
                    <a:off x="0" y="0"/>
                    <a:ext cx="15102000" cy="112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3B09" w14:textId="77777777" w:rsidR="008D4220" w:rsidRDefault="008D4220" w:rsidP="009A3EAD">
      <w:r>
        <w:separator/>
      </w:r>
    </w:p>
  </w:footnote>
  <w:footnote w:type="continuationSeparator" w:id="0">
    <w:p w14:paraId="2B67D497" w14:textId="77777777" w:rsidR="008D4220" w:rsidRDefault="008D4220" w:rsidP="009A3EAD">
      <w:r>
        <w:continuationSeparator/>
      </w:r>
    </w:p>
  </w:footnote>
  <w:footnote w:type="continuationNotice" w:id="1">
    <w:p w14:paraId="219536D5" w14:textId="77777777" w:rsidR="00163EA8" w:rsidRDefault="00163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C4D6" w14:textId="77777777" w:rsidR="00EB34DE" w:rsidRDefault="00EB34DE">
    <w:pPr>
      <w:pStyle w:val="Header"/>
    </w:pPr>
    <w:r>
      <w:rPr>
        <w:noProof/>
      </w:rPr>
      <w:drawing>
        <wp:anchor distT="0" distB="0" distL="114300" distR="114300" simplePos="0" relativeHeight="251658243" behindDoc="1" locked="0" layoutInCell="1" allowOverlap="1" wp14:anchorId="33CB9321" wp14:editId="23D8335B">
          <wp:simplePos x="0" y="0"/>
          <wp:positionH relativeFrom="page">
            <wp:align>right</wp:align>
          </wp:positionH>
          <wp:positionV relativeFrom="page">
            <wp:align>top</wp:align>
          </wp:positionV>
          <wp:extent cx="15102000" cy="892800"/>
          <wp:effectExtent l="0" t="0" r="0"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91657"/>
                  <a:stretch/>
                </pic:blipFill>
                <pic:spPr bwMode="auto">
                  <a:xfrm>
                    <a:off x="0" y="0"/>
                    <a:ext cx="15102000" cy="89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5351" w14:textId="77777777" w:rsidR="00EB341B" w:rsidRDefault="00C55FE2" w:rsidP="009A3EAD">
    <w:r>
      <w:rPr>
        <w:noProof/>
      </w:rPr>
      <w:drawing>
        <wp:anchor distT="0" distB="0" distL="114300" distR="114300" simplePos="0" relativeHeight="251658241" behindDoc="0" locked="0" layoutInCell="1" allowOverlap="1" wp14:anchorId="5CEE0B29" wp14:editId="332EFD5C">
          <wp:simplePos x="0" y="0"/>
          <wp:positionH relativeFrom="margin">
            <wp:align>left</wp:align>
          </wp:positionH>
          <wp:positionV relativeFrom="topMargin">
            <wp:posOffset>360045</wp:posOffset>
          </wp:positionV>
          <wp:extent cx="2386800" cy="432000"/>
          <wp:effectExtent l="0" t="0" r="0" b="635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8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4DE">
      <w:rPr>
        <w:noProof/>
      </w:rPr>
      <w:drawing>
        <wp:anchor distT="0" distB="0" distL="114300" distR="114300" simplePos="0" relativeHeight="251658242" behindDoc="1" locked="0" layoutInCell="1" allowOverlap="1" wp14:anchorId="2CBA879E" wp14:editId="0AF18009">
          <wp:simplePos x="0" y="0"/>
          <wp:positionH relativeFrom="page">
            <wp:align>center</wp:align>
          </wp:positionH>
          <wp:positionV relativeFrom="page">
            <wp:align>top</wp:align>
          </wp:positionV>
          <wp:extent cx="15102000" cy="1159200"/>
          <wp:effectExtent l="0" t="0" r="508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b="89154"/>
                  <a:stretch/>
                </pic:blipFill>
                <pic:spPr bwMode="auto">
                  <a:xfrm>
                    <a:off x="0" y="0"/>
                    <a:ext cx="15102000" cy="115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6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47F74"/>
    <w:multiLevelType w:val="hybridMultilevel"/>
    <w:tmpl w:val="9B746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965C4"/>
    <w:multiLevelType w:val="hybridMultilevel"/>
    <w:tmpl w:val="CC94D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BD3B93"/>
    <w:multiLevelType w:val="hybridMultilevel"/>
    <w:tmpl w:val="483A4C0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4363A2"/>
    <w:multiLevelType w:val="hybridMultilevel"/>
    <w:tmpl w:val="3684D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FB7C4C"/>
    <w:multiLevelType w:val="hybridMultilevel"/>
    <w:tmpl w:val="1A1AA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369D9"/>
    <w:multiLevelType w:val="hybridMultilevel"/>
    <w:tmpl w:val="CE9E4274"/>
    <w:lvl w:ilvl="0" w:tplc="25E4EA7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A71AD2"/>
    <w:multiLevelType w:val="hybridMultilevel"/>
    <w:tmpl w:val="643009CA"/>
    <w:lvl w:ilvl="0" w:tplc="0C09000D">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ED122E"/>
    <w:multiLevelType w:val="hybridMultilevel"/>
    <w:tmpl w:val="5E50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7075383">
    <w:abstractNumId w:val="1"/>
  </w:num>
  <w:num w:numId="2" w16cid:durableId="1915317508">
    <w:abstractNumId w:val="4"/>
  </w:num>
  <w:num w:numId="3" w16cid:durableId="462891943">
    <w:abstractNumId w:val="2"/>
  </w:num>
  <w:num w:numId="4" w16cid:durableId="793446130">
    <w:abstractNumId w:val="0"/>
  </w:num>
  <w:num w:numId="5" w16cid:durableId="2146046926">
    <w:abstractNumId w:val="3"/>
  </w:num>
  <w:num w:numId="6" w16cid:durableId="1984851201">
    <w:abstractNumId w:val="7"/>
  </w:num>
  <w:num w:numId="7" w16cid:durableId="991714386">
    <w:abstractNumId w:val="5"/>
  </w:num>
  <w:num w:numId="8" w16cid:durableId="621036675">
    <w:abstractNumId w:val="6"/>
  </w:num>
  <w:num w:numId="9" w16cid:durableId="1809517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0"/>
    <w:rsid w:val="00002D8F"/>
    <w:rsid w:val="000300E2"/>
    <w:rsid w:val="00051EF9"/>
    <w:rsid w:val="0006658F"/>
    <w:rsid w:val="001206F5"/>
    <w:rsid w:val="001544C2"/>
    <w:rsid w:val="00163EA8"/>
    <w:rsid w:val="0018006F"/>
    <w:rsid w:val="0018198E"/>
    <w:rsid w:val="00185287"/>
    <w:rsid w:val="001A76D3"/>
    <w:rsid w:val="001B6E92"/>
    <w:rsid w:val="001C092F"/>
    <w:rsid w:val="001F133C"/>
    <w:rsid w:val="001F7115"/>
    <w:rsid w:val="002075B3"/>
    <w:rsid w:val="00222D9C"/>
    <w:rsid w:val="00230B3D"/>
    <w:rsid w:val="00246C30"/>
    <w:rsid w:val="00250BD9"/>
    <w:rsid w:val="00267643"/>
    <w:rsid w:val="00343084"/>
    <w:rsid w:val="00373466"/>
    <w:rsid w:val="00384025"/>
    <w:rsid w:val="003E0A08"/>
    <w:rsid w:val="003E597A"/>
    <w:rsid w:val="0043695C"/>
    <w:rsid w:val="0044151F"/>
    <w:rsid w:val="004749F8"/>
    <w:rsid w:val="004A0039"/>
    <w:rsid w:val="004D0432"/>
    <w:rsid w:val="004F48EE"/>
    <w:rsid w:val="004F5460"/>
    <w:rsid w:val="004F67D7"/>
    <w:rsid w:val="00501774"/>
    <w:rsid w:val="005276A1"/>
    <w:rsid w:val="005428FC"/>
    <w:rsid w:val="005553AD"/>
    <w:rsid w:val="005A2D50"/>
    <w:rsid w:val="005B35E7"/>
    <w:rsid w:val="005B47E1"/>
    <w:rsid w:val="005D7EA8"/>
    <w:rsid w:val="006506E3"/>
    <w:rsid w:val="007058A7"/>
    <w:rsid w:val="00751F41"/>
    <w:rsid w:val="0078420B"/>
    <w:rsid w:val="00793CAF"/>
    <w:rsid w:val="00806492"/>
    <w:rsid w:val="00844615"/>
    <w:rsid w:val="0088078B"/>
    <w:rsid w:val="008845BF"/>
    <w:rsid w:val="00884C0A"/>
    <w:rsid w:val="00894D5A"/>
    <w:rsid w:val="008D4220"/>
    <w:rsid w:val="009162D2"/>
    <w:rsid w:val="00922920"/>
    <w:rsid w:val="00924533"/>
    <w:rsid w:val="00926502"/>
    <w:rsid w:val="0096143E"/>
    <w:rsid w:val="009741D2"/>
    <w:rsid w:val="009A3EAD"/>
    <w:rsid w:val="009B6F4A"/>
    <w:rsid w:val="009C5D54"/>
    <w:rsid w:val="00A238AE"/>
    <w:rsid w:val="00A37CBD"/>
    <w:rsid w:val="00A945B3"/>
    <w:rsid w:val="00AD48AA"/>
    <w:rsid w:val="00AF24CB"/>
    <w:rsid w:val="00B00426"/>
    <w:rsid w:val="00B02BB0"/>
    <w:rsid w:val="00B355DF"/>
    <w:rsid w:val="00B64C8E"/>
    <w:rsid w:val="00B83CD2"/>
    <w:rsid w:val="00C12181"/>
    <w:rsid w:val="00C55FE2"/>
    <w:rsid w:val="00CB3D09"/>
    <w:rsid w:val="00CD5660"/>
    <w:rsid w:val="00CE7310"/>
    <w:rsid w:val="00D201D3"/>
    <w:rsid w:val="00D27AD5"/>
    <w:rsid w:val="00D90309"/>
    <w:rsid w:val="00D94CFD"/>
    <w:rsid w:val="00DE6E18"/>
    <w:rsid w:val="00DF62BC"/>
    <w:rsid w:val="00E226BF"/>
    <w:rsid w:val="00E36030"/>
    <w:rsid w:val="00E55370"/>
    <w:rsid w:val="00E94415"/>
    <w:rsid w:val="00EB341B"/>
    <w:rsid w:val="00EB34DE"/>
    <w:rsid w:val="00EF68A1"/>
    <w:rsid w:val="00F07B23"/>
    <w:rsid w:val="00F15E05"/>
    <w:rsid w:val="00F602D4"/>
    <w:rsid w:val="00F76A20"/>
    <w:rsid w:val="00FD78FB"/>
    <w:rsid w:val="00FF2E33"/>
    <w:rsid w:val="00FF6191"/>
    <w:rsid w:val="0AF6C099"/>
    <w:rsid w:val="28BA376A"/>
    <w:rsid w:val="317005D9"/>
    <w:rsid w:val="34C7ECB2"/>
    <w:rsid w:val="3AF6C216"/>
    <w:rsid w:val="7F851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1B13"/>
  <w15:chartTrackingRefBased/>
  <w15:docId w15:val="{CABB73B5-F082-4331-B052-FD26A45D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5C"/>
    <w:rPr>
      <w:sz w:val="20"/>
    </w:rPr>
  </w:style>
  <w:style w:type="paragraph" w:styleId="Heading1">
    <w:name w:val="heading 1"/>
    <w:basedOn w:val="Normal"/>
    <w:next w:val="Normal"/>
    <w:link w:val="Heading1Char"/>
    <w:uiPriority w:val="9"/>
    <w:qFormat/>
    <w:locked/>
    <w:rsid w:val="005B35E7"/>
    <w:pPr>
      <w:keepNext/>
      <w:keepLines/>
      <w:spacing w:before="240" w:after="0"/>
      <w:outlineLvl w:val="0"/>
    </w:pPr>
    <w:rPr>
      <w:rFonts w:asciiTheme="majorHAnsi" w:eastAsiaTheme="majorEastAsia" w:hAnsiTheme="majorHAnsi" w:cstheme="majorBidi"/>
      <w:b/>
      <w:color w:val="368794" w:themeColor="accent4"/>
      <w:sz w:val="40"/>
      <w:szCs w:val="40"/>
    </w:rPr>
  </w:style>
  <w:style w:type="paragraph" w:styleId="Heading2">
    <w:name w:val="heading 2"/>
    <w:basedOn w:val="Normal"/>
    <w:next w:val="Normal"/>
    <w:link w:val="Heading2Char"/>
    <w:uiPriority w:val="9"/>
    <w:qFormat/>
    <w:locked/>
    <w:rsid w:val="005B35E7"/>
    <w:pPr>
      <w:keepNext/>
      <w:keepLines/>
      <w:spacing w:before="40" w:after="0"/>
      <w:outlineLvl w:val="1"/>
    </w:pPr>
    <w:rPr>
      <w:rFonts w:asciiTheme="majorHAnsi" w:eastAsiaTheme="majorEastAsia" w:hAnsiTheme="majorHAnsi" w:cstheme="majorBidi"/>
      <w:b/>
      <w:color w:val="368794" w:themeColor="accent4"/>
      <w:sz w:val="32"/>
      <w:szCs w:val="32"/>
    </w:rPr>
  </w:style>
  <w:style w:type="paragraph" w:styleId="Heading3">
    <w:name w:val="heading 3"/>
    <w:basedOn w:val="Normal"/>
    <w:next w:val="Normal"/>
    <w:link w:val="Heading3Char"/>
    <w:uiPriority w:val="9"/>
    <w:qFormat/>
    <w:locked/>
    <w:rsid w:val="005B35E7"/>
    <w:pPr>
      <w:keepNext/>
      <w:keepLines/>
      <w:spacing w:before="40" w:after="0"/>
      <w:outlineLvl w:val="2"/>
    </w:pPr>
    <w:rPr>
      <w:rFonts w:asciiTheme="majorHAnsi" w:eastAsiaTheme="majorEastAsia" w:hAnsiTheme="majorHAnsi" w:cstheme="majorBidi"/>
      <w:b/>
      <w:color w:val="368794" w:themeColor="accent4"/>
      <w:sz w:val="28"/>
      <w:szCs w:val="28"/>
    </w:rPr>
  </w:style>
  <w:style w:type="paragraph" w:styleId="Heading4">
    <w:name w:val="heading 4"/>
    <w:basedOn w:val="Normal"/>
    <w:next w:val="Normal"/>
    <w:link w:val="Heading4Char"/>
    <w:uiPriority w:val="9"/>
    <w:qFormat/>
    <w:locked/>
    <w:rsid w:val="005B35E7"/>
    <w:pPr>
      <w:keepNext/>
      <w:keepLines/>
      <w:spacing w:before="40" w:after="0"/>
      <w:outlineLvl w:val="3"/>
    </w:pPr>
    <w:rPr>
      <w:rFonts w:asciiTheme="majorHAnsi" w:eastAsiaTheme="majorEastAsia" w:hAnsiTheme="majorHAnsi" w:cstheme="majorBidi"/>
      <w:i/>
      <w:iCs/>
      <w:color w:val="368794" w:themeColor="accent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F48EE"/>
    <w:pPr>
      <w:tabs>
        <w:tab w:val="center" w:pos="4513"/>
        <w:tab w:val="right" w:pos="9026"/>
      </w:tabs>
      <w:spacing w:after="0" w:line="240" w:lineRule="auto"/>
    </w:pPr>
  </w:style>
  <w:style w:type="character" w:customStyle="1" w:styleId="FooterChar">
    <w:name w:val="Footer Char"/>
    <w:basedOn w:val="DefaultParagraphFont"/>
    <w:link w:val="Footer"/>
    <w:semiHidden/>
    <w:rsid w:val="00CE7310"/>
    <w:rPr>
      <w:sz w:val="20"/>
    </w:rPr>
  </w:style>
  <w:style w:type="table" w:styleId="TableGrid">
    <w:name w:val="Table Grid"/>
    <w:basedOn w:val="TableNormal"/>
    <w:uiPriority w:val="59"/>
    <w:locked/>
    <w:rsid w:val="004F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locked/>
    <w:rsid w:val="004F48EE"/>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insideH w:val="nil"/>
          <w:insideV w:val="nil"/>
        </w:tcBorders>
        <w:shd w:val="clear" w:color="auto" w:fill="7F7F7F" w:themeFill="accent6"/>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Heading1Char">
    <w:name w:val="Heading 1 Char"/>
    <w:basedOn w:val="DefaultParagraphFont"/>
    <w:link w:val="Heading1"/>
    <w:uiPriority w:val="9"/>
    <w:rsid w:val="005B35E7"/>
    <w:rPr>
      <w:rFonts w:asciiTheme="majorHAnsi" w:eastAsiaTheme="majorEastAsia" w:hAnsiTheme="majorHAnsi" w:cstheme="majorBidi"/>
      <w:b/>
      <w:color w:val="368794" w:themeColor="accent4"/>
      <w:sz w:val="40"/>
      <w:szCs w:val="40"/>
    </w:rPr>
  </w:style>
  <w:style w:type="character" w:customStyle="1" w:styleId="Heading2Char">
    <w:name w:val="Heading 2 Char"/>
    <w:basedOn w:val="DefaultParagraphFont"/>
    <w:link w:val="Heading2"/>
    <w:uiPriority w:val="9"/>
    <w:rsid w:val="00CE7310"/>
    <w:rPr>
      <w:rFonts w:asciiTheme="majorHAnsi" w:eastAsiaTheme="majorEastAsia" w:hAnsiTheme="majorHAnsi" w:cstheme="majorBidi"/>
      <w:b/>
      <w:color w:val="368794" w:themeColor="accent4"/>
      <w:sz w:val="32"/>
      <w:szCs w:val="32"/>
    </w:rPr>
  </w:style>
  <w:style w:type="character" w:customStyle="1" w:styleId="Heading3Char">
    <w:name w:val="Heading 3 Char"/>
    <w:basedOn w:val="DefaultParagraphFont"/>
    <w:link w:val="Heading3"/>
    <w:uiPriority w:val="9"/>
    <w:rsid w:val="00CE7310"/>
    <w:rPr>
      <w:rFonts w:asciiTheme="majorHAnsi" w:eastAsiaTheme="majorEastAsia" w:hAnsiTheme="majorHAnsi" w:cstheme="majorBidi"/>
      <w:b/>
      <w:color w:val="368794" w:themeColor="accent4"/>
      <w:sz w:val="28"/>
      <w:szCs w:val="28"/>
    </w:rPr>
  </w:style>
  <w:style w:type="paragraph" w:styleId="Title">
    <w:name w:val="Title"/>
    <w:basedOn w:val="Normal"/>
    <w:next w:val="Normal"/>
    <w:link w:val="TitleChar"/>
    <w:uiPriority w:val="10"/>
    <w:qFormat/>
    <w:locked/>
    <w:rsid w:val="00EB34DE"/>
    <w:pPr>
      <w:spacing w:after="0" w:line="240" w:lineRule="auto"/>
      <w:contextualSpacing/>
    </w:pPr>
    <w:rPr>
      <w:rFonts w:asciiTheme="majorHAnsi" w:eastAsiaTheme="majorEastAsia" w:hAnsiTheme="majorHAnsi" w:cstheme="majorBidi"/>
      <w:b/>
      <w:color w:val="FAC470" w:themeColor="accent3"/>
      <w:spacing w:val="-10"/>
      <w:kern w:val="28"/>
      <w:sz w:val="56"/>
      <w:szCs w:val="56"/>
    </w:rPr>
  </w:style>
  <w:style w:type="character" w:customStyle="1" w:styleId="TitleChar">
    <w:name w:val="Title Char"/>
    <w:basedOn w:val="DefaultParagraphFont"/>
    <w:link w:val="Title"/>
    <w:uiPriority w:val="10"/>
    <w:rsid w:val="00EB34DE"/>
    <w:rPr>
      <w:rFonts w:asciiTheme="majorHAnsi" w:eastAsiaTheme="majorEastAsia" w:hAnsiTheme="majorHAnsi" w:cstheme="majorBidi"/>
      <w:b/>
      <w:color w:val="FAC470" w:themeColor="accent3"/>
      <w:spacing w:val="-10"/>
      <w:kern w:val="28"/>
      <w:sz w:val="56"/>
      <w:szCs w:val="56"/>
    </w:rPr>
  </w:style>
  <w:style w:type="character" w:customStyle="1" w:styleId="Heading4Char">
    <w:name w:val="Heading 4 Char"/>
    <w:basedOn w:val="DefaultParagraphFont"/>
    <w:link w:val="Heading4"/>
    <w:uiPriority w:val="9"/>
    <w:rsid w:val="00CE7310"/>
    <w:rPr>
      <w:rFonts w:asciiTheme="majorHAnsi" w:eastAsiaTheme="majorEastAsia" w:hAnsiTheme="majorHAnsi" w:cstheme="majorBidi"/>
      <w:i/>
      <w:iCs/>
      <w:color w:val="368794" w:themeColor="accent4"/>
      <w:sz w:val="28"/>
    </w:rPr>
  </w:style>
  <w:style w:type="paragraph" w:styleId="ListParagraph">
    <w:name w:val="List Paragraph"/>
    <w:basedOn w:val="Normal"/>
    <w:uiPriority w:val="34"/>
    <w:qFormat/>
    <w:locked/>
    <w:rsid w:val="00EB341B"/>
    <w:pPr>
      <w:ind w:left="720"/>
      <w:contextualSpacing/>
    </w:pPr>
  </w:style>
  <w:style w:type="paragraph" w:styleId="BalloonText">
    <w:name w:val="Balloon Text"/>
    <w:basedOn w:val="Normal"/>
    <w:link w:val="BalloonTextChar"/>
    <w:uiPriority w:val="99"/>
    <w:semiHidden/>
    <w:unhideWhenUsed/>
    <w:rsid w:val="00527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A1"/>
    <w:rPr>
      <w:rFonts w:ascii="Segoe UI" w:hAnsi="Segoe UI" w:cs="Segoe UI"/>
      <w:sz w:val="18"/>
      <w:szCs w:val="18"/>
    </w:rPr>
  </w:style>
  <w:style w:type="table" w:styleId="GridTable4-Accent2">
    <w:name w:val="Grid Table 4 Accent 2"/>
    <w:basedOn w:val="TableNormal"/>
    <w:uiPriority w:val="49"/>
    <w:locked/>
    <w:rsid w:val="005B35E7"/>
    <w:pPr>
      <w:spacing w:after="0" w:line="240" w:lineRule="auto"/>
    </w:pPr>
    <w:tblPr>
      <w:tblStyleRowBandSize w:val="1"/>
      <w:tblStyleColBandSize w:val="1"/>
      <w:tblBorders>
        <w:top w:val="single" w:sz="4" w:space="0" w:color="B3CFA6" w:themeColor="accent2" w:themeTint="99"/>
        <w:left w:val="single" w:sz="4" w:space="0" w:color="B3CFA6" w:themeColor="accent2" w:themeTint="99"/>
        <w:bottom w:val="single" w:sz="4" w:space="0" w:color="B3CFA6" w:themeColor="accent2" w:themeTint="99"/>
        <w:right w:val="single" w:sz="4" w:space="0" w:color="B3CFA6" w:themeColor="accent2" w:themeTint="99"/>
        <w:insideH w:val="single" w:sz="4" w:space="0" w:color="B3CFA6" w:themeColor="accent2" w:themeTint="99"/>
        <w:insideV w:val="single" w:sz="4" w:space="0" w:color="B3CFA6" w:themeColor="accent2" w:themeTint="99"/>
      </w:tblBorders>
    </w:tblPr>
    <w:tblStylePr w:type="firstRow">
      <w:rPr>
        <w:b/>
        <w:bCs/>
        <w:color w:val="FFFFFF" w:themeColor="background1"/>
      </w:rPr>
      <w:tblPr/>
      <w:tcPr>
        <w:tcBorders>
          <w:top w:val="single" w:sz="4" w:space="0" w:color="82B06B" w:themeColor="accent2"/>
          <w:left w:val="single" w:sz="4" w:space="0" w:color="82B06B" w:themeColor="accent2"/>
          <w:bottom w:val="single" w:sz="4" w:space="0" w:color="82B06B" w:themeColor="accent2"/>
          <w:right w:val="single" w:sz="4" w:space="0" w:color="82B06B" w:themeColor="accent2"/>
          <w:insideH w:val="nil"/>
          <w:insideV w:val="nil"/>
        </w:tcBorders>
        <w:shd w:val="clear" w:color="auto" w:fill="82B06B" w:themeFill="accent2"/>
      </w:tcPr>
    </w:tblStylePr>
    <w:tblStylePr w:type="lastRow">
      <w:rPr>
        <w:b/>
        <w:bCs/>
      </w:rPr>
      <w:tblPr/>
      <w:tcPr>
        <w:tcBorders>
          <w:top w:val="double" w:sz="4" w:space="0" w:color="82B06B" w:themeColor="accent2"/>
        </w:tcBorders>
      </w:tcPr>
    </w:tblStylePr>
    <w:tblStylePr w:type="firstCol">
      <w:rPr>
        <w:b/>
        <w:bCs/>
      </w:rPr>
    </w:tblStylePr>
    <w:tblStylePr w:type="lastCol">
      <w:rPr>
        <w:b/>
        <w:bCs/>
      </w:rPr>
    </w:tblStylePr>
    <w:tblStylePr w:type="band1Vert">
      <w:tblPr/>
      <w:tcPr>
        <w:shd w:val="clear" w:color="auto" w:fill="E5EFE1" w:themeFill="accent2" w:themeFillTint="33"/>
      </w:tcPr>
    </w:tblStylePr>
    <w:tblStylePr w:type="band1Horz">
      <w:tblPr/>
      <w:tcPr>
        <w:shd w:val="clear" w:color="auto" w:fill="E5EFE1" w:themeFill="accent2" w:themeFillTint="33"/>
      </w:tcPr>
    </w:tblStylePr>
  </w:style>
  <w:style w:type="table" w:styleId="GridTable4-Accent3">
    <w:name w:val="Grid Table 4 Accent 3"/>
    <w:basedOn w:val="TableNormal"/>
    <w:uiPriority w:val="49"/>
    <w:locked/>
    <w:rsid w:val="005B35E7"/>
    <w:pPr>
      <w:spacing w:after="0" w:line="240" w:lineRule="auto"/>
    </w:pPr>
    <w:tblPr>
      <w:tblStyleRowBandSize w:val="1"/>
      <w:tblStyleColBandSize w:val="1"/>
      <w:tblBorders>
        <w:top w:val="single" w:sz="4" w:space="0" w:color="FCDBA9" w:themeColor="accent3" w:themeTint="99"/>
        <w:left w:val="single" w:sz="4" w:space="0" w:color="FCDBA9" w:themeColor="accent3" w:themeTint="99"/>
        <w:bottom w:val="single" w:sz="4" w:space="0" w:color="FCDBA9" w:themeColor="accent3" w:themeTint="99"/>
        <w:right w:val="single" w:sz="4" w:space="0" w:color="FCDBA9" w:themeColor="accent3" w:themeTint="99"/>
        <w:insideH w:val="single" w:sz="4" w:space="0" w:color="FCDBA9" w:themeColor="accent3" w:themeTint="99"/>
        <w:insideV w:val="single" w:sz="4" w:space="0" w:color="FCDBA9" w:themeColor="accent3" w:themeTint="99"/>
      </w:tblBorders>
    </w:tblPr>
    <w:tblStylePr w:type="firstRow">
      <w:rPr>
        <w:b/>
        <w:bCs/>
        <w:color w:val="FFFFFF" w:themeColor="background1"/>
      </w:rPr>
      <w:tblPr/>
      <w:tcPr>
        <w:tcBorders>
          <w:top w:val="single" w:sz="4" w:space="0" w:color="FAC470" w:themeColor="accent3"/>
          <w:left w:val="single" w:sz="4" w:space="0" w:color="FAC470" w:themeColor="accent3"/>
          <w:bottom w:val="single" w:sz="4" w:space="0" w:color="FAC470" w:themeColor="accent3"/>
          <w:right w:val="single" w:sz="4" w:space="0" w:color="FAC470" w:themeColor="accent3"/>
          <w:insideH w:val="nil"/>
          <w:insideV w:val="nil"/>
        </w:tcBorders>
        <w:shd w:val="clear" w:color="auto" w:fill="FAC470" w:themeFill="accent3"/>
      </w:tcPr>
    </w:tblStylePr>
    <w:tblStylePr w:type="lastRow">
      <w:rPr>
        <w:b/>
        <w:bCs/>
      </w:rPr>
      <w:tblPr/>
      <w:tcPr>
        <w:tcBorders>
          <w:top w:val="double" w:sz="4" w:space="0" w:color="FAC470" w:themeColor="accent3"/>
        </w:tcBorders>
      </w:tcPr>
    </w:tblStylePr>
    <w:tblStylePr w:type="firstCol">
      <w:rPr>
        <w:b/>
        <w:bCs/>
      </w:rPr>
    </w:tblStylePr>
    <w:tblStylePr w:type="lastCol">
      <w:rPr>
        <w:b/>
        <w:bCs/>
      </w:rPr>
    </w:tblStylePr>
    <w:tblStylePr w:type="band1Vert">
      <w:tblPr/>
      <w:tcPr>
        <w:shd w:val="clear" w:color="auto" w:fill="FEF3E2" w:themeFill="accent3" w:themeFillTint="33"/>
      </w:tcPr>
    </w:tblStylePr>
    <w:tblStylePr w:type="band1Horz">
      <w:tblPr/>
      <w:tcPr>
        <w:shd w:val="clear" w:color="auto" w:fill="FEF3E2" w:themeFill="accent3" w:themeFillTint="33"/>
      </w:tcPr>
    </w:tblStylePr>
  </w:style>
  <w:style w:type="table" w:styleId="GridTable4-Accent4">
    <w:name w:val="Grid Table 4 Accent 4"/>
    <w:basedOn w:val="TableNormal"/>
    <w:uiPriority w:val="49"/>
    <w:locked/>
    <w:rsid w:val="005B35E7"/>
    <w:pPr>
      <w:spacing w:after="0" w:line="240" w:lineRule="auto"/>
    </w:pPr>
    <w:tblPr>
      <w:tblStyleRowBandSize w:val="1"/>
      <w:tblStyleColBandSize w:val="1"/>
      <w:tblBorders>
        <w:top w:val="single" w:sz="4" w:space="0" w:color="77C1CD" w:themeColor="accent4" w:themeTint="99"/>
        <w:left w:val="single" w:sz="4" w:space="0" w:color="77C1CD" w:themeColor="accent4" w:themeTint="99"/>
        <w:bottom w:val="single" w:sz="4" w:space="0" w:color="77C1CD" w:themeColor="accent4" w:themeTint="99"/>
        <w:right w:val="single" w:sz="4" w:space="0" w:color="77C1CD" w:themeColor="accent4" w:themeTint="99"/>
        <w:insideH w:val="single" w:sz="4" w:space="0" w:color="77C1CD" w:themeColor="accent4" w:themeTint="99"/>
        <w:insideV w:val="single" w:sz="4" w:space="0" w:color="77C1CD" w:themeColor="accent4" w:themeTint="99"/>
      </w:tblBorders>
    </w:tblPr>
    <w:tblStylePr w:type="firstRow">
      <w:rPr>
        <w:b/>
        <w:bCs/>
        <w:color w:val="FFFFFF" w:themeColor="background1"/>
      </w:rPr>
      <w:tblPr/>
      <w:tcPr>
        <w:tcBorders>
          <w:top w:val="single" w:sz="4" w:space="0" w:color="368794" w:themeColor="accent4"/>
          <w:left w:val="single" w:sz="4" w:space="0" w:color="368794" w:themeColor="accent4"/>
          <w:bottom w:val="single" w:sz="4" w:space="0" w:color="368794" w:themeColor="accent4"/>
          <w:right w:val="single" w:sz="4" w:space="0" w:color="368794" w:themeColor="accent4"/>
          <w:insideH w:val="nil"/>
          <w:insideV w:val="nil"/>
        </w:tcBorders>
        <w:shd w:val="clear" w:color="auto" w:fill="368794" w:themeFill="accent4"/>
      </w:tcPr>
    </w:tblStylePr>
    <w:tblStylePr w:type="lastRow">
      <w:rPr>
        <w:b/>
        <w:bCs/>
      </w:rPr>
      <w:tblPr/>
      <w:tcPr>
        <w:tcBorders>
          <w:top w:val="double" w:sz="4" w:space="0" w:color="368794" w:themeColor="accent4"/>
        </w:tcBorders>
      </w:tcPr>
    </w:tblStylePr>
    <w:tblStylePr w:type="firstCol">
      <w:rPr>
        <w:b/>
        <w:bCs/>
      </w:rPr>
    </w:tblStylePr>
    <w:tblStylePr w:type="lastCol">
      <w:rPr>
        <w:b/>
        <w:bCs/>
      </w:rPr>
    </w:tblStylePr>
    <w:tblStylePr w:type="band1Vert">
      <w:tblPr/>
      <w:tcPr>
        <w:shd w:val="clear" w:color="auto" w:fill="D1EAEE" w:themeFill="accent4" w:themeFillTint="33"/>
      </w:tcPr>
    </w:tblStylePr>
    <w:tblStylePr w:type="band1Horz">
      <w:tblPr/>
      <w:tcPr>
        <w:shd w:val="clear" w:color="auto" w:fill="D1EAEE" w:themeFill="accent4" w:themeFillTint="33"/>
      </w:tcPr>
    </w:tblStylePr>
  </w:style>
  <w:style w:type="paragraph" w:styleId="Caption">
    <w:name w:val="caption"/>
    <w:basedOn w:val="Normal"/>
    <w:next w:val="Normal"/>
    <w:semiHidden/>
    <w:qFormat/>
    <w:rsid w:val="00894D5A"/>
    <w:pPr>
      <w:spacing w:after="0" w:line="240" w:lineRule="auto"/>
    </w:pPr>
    <w:rPr>
      <w:rFonts w:ascii="Arial" w:eastAsia="Times New Roman" w:hAnsi="Arial" w:cs="Times New Roman"/>
      <w:iCs/>
      <w:sz w:val="15"/>
      <w:szCs w:val="15"/>
      <w:lang w:eastAsia="en-AU"/>
    </w:rPr>
  </w:style>
  <w:style w:type="character" w:styleId="Hyperlink">
    <w:name w:val="Hyperlink"/>
    <w:basedOn w:val="DefaultParagraphFont"/>
    <w:uiPriority w:val="99"/>
    <w:unhideWhenUsed/>
    <w:rsid w:val="005B47E1"/>
    <w:rPr>
      <w:color w:val="FAC470" w:themeColor="hyperlink"/>
      <w:u w:val="single"/>
    </w:rPr>
  </w:style>
  <w:style w:type="character" w:styleId="UnresolvedMention">
    <w:name w:val="Unresolved Mention"/>
    <w:basedOn w:val="DefaultParagraphFont"/>
    <w:uiPriority w:val="99"/>
    <w:semiHidden/>
    <w:unhideWhenUsed/>
    <w:rsid w:val="005B47E1"/>
    <w:rPr>
      <w:color w:val="808080"/>
      <w:shd w:val="clear" w:color="auto" w:fill="E6E6E6"/>
    </w:rPr>
  </w:style>
  <w:style w:type="table" w:styleId="TableGridLight">
    <w:name w:val="Grid Table Light"/>
    <w:basedOn w:val="TableNormal"/>
    <w:uiPriority w:val="40"/>
    <w:locked/>
    <w:rsid w:val="005B47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5B47E1"/>
    <w:rPr>
      <w:color w:val="808080"/>
    </w:rPr>
  </w:style>
  <w:style w:type="paragraph" w:styleId="NoSpacing">
    <w:name w:val="No Spacing"/>
    <w:uiPriority w:val="1"/>
    <w:qFormat/>
    <w:locked/>
    <w:rsid w:val="005B47E1"/>
    <w:pPr>
      <w:spacing w:after="0" w:line="240" w:lineRule="auto"/>
    </w:pPr>
    <w:rPr>
      <w:sz w:val="20"/>
    </w:rPr>
  </w:style>
  <w:style w:type="paragraph" w:styleId="Header">
    <w:name w:val="header"/>
    <w:basedOn w:val="Normal"/>
    <w:link w:val="HeaderChar"/>
    <w:uiPriority w:val="99"/>
    <w:unhideWhenUsed/>
    <w:rsid w:val="00C5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FE2"/>
    <w:rPr>
      <w:sz w:val="20"/>
    </w:rPr>
  </w:style>
  <w:style w:type="character" w:styleId="FollowedHyperlink">
    <w:name w:val="FollowedHyperlink"/>
    <w:basedOn w:val="DefaultParagraphFont"/>
    <w:uiPriority w:val="99"/>
    <w:semiHidden/>
    <w:unhideWhenUsed/>
    <w:rsid w:val="0018006F"/>
    <w:rPr>
      <w:color w:val="E863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qld.gov.au/dataset/public-health-disaster-management-fact-shee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isease-control.health.qld.gov.au/Condition/766/melioidosis" TargetMode="External"/><Relationship Id="rId4" Type="http://schemas.openxmlformats.org/officeDocument/2006/relationships/settings" Target="settings.xml"/><Relationship Id="rId9" Type="http://schemas.openxmlformats.org/officeDocument/2006/relationships/hyperlink" Target="http://disease-control.health.qld.gov.au/Condition/722/leptospirosi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BH-CL1_SC_APPS1\APPS1\Templates\HHS%20Templates\A4%20Document%20Version%202.dotx" TargetMode="External"/></Relationships>
</file>

<file path=word/theme/theme1.xml><?xml version="1.0" encoding="utf-8"?>
<a:theme xmlns:a="http://schemas.openxmlformats.org/drawingml/2006/main" name="Office Theme">
  <a:themeElements>
    <a:clrScheme name="Rainforest to the Reef">
      <a:dk1>
        <a:sysClr val="windowText" lastClr="000000"/>
      </a:dk1>
      <a:lt1>
        <a:sysClr val="window" lastClr="FFFFFF"/>
      </a:lt1>
      <a:dk2>
        <a:srgbClr val="368794"/>
      </a:dk2>
      <a:lt2>
        <a:srgbClr val="FEF3E2"/>
      </a:lt2>
      <a:accent1>
        <a:srgbClr val="61854F"/>
      </a:accent1>
      <a:accent2>
        <a:srgbClr val="82B06B"/>
      </a:accent2>
      <a:accent3>
        <a:srgbClr val="FAC470"/>
      </a:accent3>
      <a:accent4>
        <a:srgbClr val="368794"/>
      </a:accent4>
      <a:accent5>
        <a:srgbClr val="4BACC6"/>
      </a:accent5>
      <a:accent6>
        <a:srgbClr val="7F7F7F"/>
      </a:accent6>
      <a:hlink>
        <a:srgbClr val="FAC470"/>
      </a:hlink>
      <a:folHlink>
        <a:srgbClr val="E863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F69D-5894-440E-A4BD-48F4D274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Version 2</Template>
  <TotalTime>80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Links>
    <vt:vector size="18" baseType="variant">
      <vt:variant>
        <vt:i4>6684783</vt:i4>
      </vt:variant>
      <vt:variant>
        <vt:i4>6</vt:i4>
      </vt:variant>
      <vt:variant>
        <vt:i4>0</vt:i4>
      </vt:variant>
      <vt:variant>
        <vt:i4>5</vt:i4>
      </vt:variant>
      <vt:variant>
        <vt:lpwstr>http://disease-control.health.qld.gov.au/Condition/766/melioidosis</vt:lpwstr>
      </vt:variant>
      <vt:variant>
        <vt:lpwstr/>
      </vt:variant>
      <vt:variant>
        <vt:i4>1638405</vt:i4>
      </vt:variant>
      <vt:variant>
        <vt:i4>3</vt:i4>
      </vt:variant>
      <vt:variant>
        <vt:i4>0</vt:i4>
      </vt:variant>
      <vt:variant>
        <vt:i4>5</vt:i4>
      </vt:variant>
      <vt:variant>
        <vt:lpwstr>http://disease-control.health.qld.gov.au/Condition/722/leptospirosis</vt:lpwstr>
      </vt:variant>
      <vt:variant>
        <vt:lpwstr/>
      </vt:variant>
      <vt:variant>
        <vt:i4>1704024</vt:i4>
      </vt:variant>
      <vt:variant>
        <vt:i4>0</vt:i4>
      </vt:variant>
      <vt:variant>
        <vt:i4>0</vt:i4>
      </vt:variant>
      <vt:variant>
        <vt:i4>5</vt:i4>
      </vt:variant>
      <vt:variant>
        <vt:lpwstr>https://publications.qld.gov.au/dataset/public-health-disaster-management-fact-sheets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Mudd</dc:creator>
  <cp:keywords/>
  <dc:description/>
  <cp:lastModifiedBy>Julie Mudd</cp:lastModifiedBy>
  <cp:revision>2</cp:revision>
  <cp:lastPrinted>2021-01-06T00:24:00Z</cp:lastPrinted>
  <dcterms:created xsi:type="dcterms:W3CDTF">2023-12-18T05:24:00Z</dcterms:created>
  <dcterms:modified xsi:type="dcterms:W3CDTF">2023-12-18T05:24:00Z</dcterms:modified>
</cp:coreProperties>
</file>