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7AD" w14:textId="77777777" w:rsidR="001D451E" w:rsidRDefault="001D451E">
      <w:pPr>
        <w:pStyle w:val="Header"/>
        <w:tabs>
          <w:tab w:val="clear" w:pos="4153"/>
          <w:tab w:val="clear" w:pos="8306"/>
        </w:tabs>
        <w:rPr>
          <w:rFonts w:ascii="Arial" w:hAnsi="Arial" w:cs="Arial"/>
          <w:b/>
          <w:sz w:val="28"/>
        </w:rPr>
      </w:pPr>
    </w:p>
    <w:p w14:paraId="2AD479D5" w14:textId="7EDC7E62" w:rsidR="0036619E" w:rsidRDefault="002C1A33">
      <w:pPr>
        <w:pStyle w:val="Header"/>
        <w:tabs>
          <w:tab w:val="clear" w:pos="4153"/>
          <w:tab w:val="clear" w:pos="8306"/>
        </w:tabs>
        <w:rPr>
          <w:rFonts w:ascii="Arial" w:hAnsi="Arial"/>
          <w:bCs/>
        </w:rPr>
      </w:pPr>
      <w:r w:rsidRPr="002C1A33">
        <w:rPr>
          <w:rFonts w:ascii="Arial" w:hAnsi="Arial" w:cs="Arial"/>
          <w:b/>
          <w:sz w:val="28"/>
        </w:rPr>
        <w:t>Involvement of GPs in Disaster and Emergency Planning</w:t>
      </w:r>
    </w:p>
    <w:p w14:paraId="3452BAE5" w14:textId="7DF368F2" w:rsidR="0036619E" w:rsidRDefault="0036619E">
      <w:pPr>
        <w:jc w:val="both"/>
        <w:rPr>
          <w:rFonts w:ascii="Arial" w:hAnsi="Arial" w:cs="Arial"/>
          <w:b/>
          <w:bCs/>
        </w:rPr>
      </w:pPr>
    </w:p>
    <w:p w14:paraId="7E0E122F" w14:textId="1A99B3D8" w:rsidR="002C1A33" w:rsidRDefault="002C1A33">
      <w:pPr>
        <w:jc w:val="both"/>
        <w:rPr>
          <w:rFonts w:ascii="Arial" w:hAnsi="Arial" w:cs="Arial"/>
          <w:b/>
          <w:bCs/>
        </w:rPr>
      </w:pPr>
      <w:r>
        <w:rPr>
          <w:rFonts w:ascii="Arial" w:hAnsi="Arial" w:cs="Arial"/>
          <w:b/>
          <w:bCs/>
        </w:rPr>
        <w:t>2022</w:t>
      </w:r>
    </w:p>
    <w:p w14:paraId="64D8A6DA" w14:textId="77777777" w:rsidR="0036619E" w:rsidRDefault="0036619E">
      <w:pPr>
        <w:jc w:val="both"/>
        <w:rPr>
          <w:rFonts w:ascii="Arial" w:hAnsi="Arial" w:cs="Arial"/>
        </w:rPr>
      </w:pPr>
    </w:p>
    <w:p w14:paraId="371D7085" w14:textId="057AB99F" w:rsidR="0036619E" w:rsidRDefault="002C1A33">
      <w:pPr>
        <w:jc w:val="both"/>
        <w:rPr>
          <w:rFonts w:ascii="Arial" w:hAnsi="Arial" w:cs="Arial"/>
          <w:sz w:val="20"/>
        </w:rPr>
      </w:pPr>
      <w:r w:rsidRPr="002C1A33">
        <w:rPr>
          <w:rFonts w:ascii="Arial" w:hAnsi="Arial" w:cs="Arial"/>
          <w:sz w:val="20"/>
        </w:rPr>
        <w:t>This document has been developed to help policymakers at all levels of government and medical practitioners across Australia be more aware of the issues involved in natural disaster planning and emergency management, and the role of GPs in these situations.</w:t>
      </w:r>
    </w:p>
    <w:p w14:paraId="502FAD40" w14:textId="77777777" w:rsidR="002C1A33" w:rsidRDefault="002C1A33">
      <w:pPr>
        <w:jc w:val="both"/>
        <w:rPr>
          <w:rFonts w:ascii="Arial" w:hAnsi="Arial" w:cs="Arial"/>
          <w:b/>
          <w:bCs/>
          <w:sz w:val="20"/>
        </w:rPr>
      </w:pPr>
    </w:p>
    <w:p w14:paraId="7F7270BC" w14:textId="4F3CB4FE" w:rsidR="0036619E" w:rsidRDefault="002C1A33">
      <w:pPr>
        <w:numPr>
          <w:ilvl w:val="0"/>
          <w:numId w:val="2"/>
        </w:numPr>
        <w:jc w:val="both"/>
        <w:rPr>
          <w:rFonts w:ascii="Arial" w:hAnsi="Arial" w:cs="Arial"/>
          <w:b/>
          <w:bCs/>
          <w:sz w:val="20"/>
        </w:rPr>
      </w:pPr>
      <w:r>
        <w:rPr>
          <w:rFonts w:ascii="Arial" w:hAnsi="Arial" w:cs="Arial"/>
          <w:b/>
          <w:bCs/>
          <w:sz w:val="20"/>
        </w:rPr>
        <w:t>Background</w:t>
      </w:r>
    </w:p>
    <w:p w14:paraId="645BD501" w14:textId="77777777" w:rsidR="0036619E" w:rsidRDefault="0036619E">
      <w:pPr>
        <w:jc w:val="both"/>
        <w:rPr>
          <w:rFonts w:ascii="Arial" w:hAnsi="Arial" w:cs="Arial"/>
          <w:b/>
          <w:bCs/>
          <w:sz w:val="20"/>
        </w:rPr>
      </w:pPr>
    </w:p>
    <w:p w14:paraId="75FE4C60" w14:textId="77777777" w:rsidR="002C1A33" w:rsidRPr="002C1A33" w:rsidRDefault="002C1A33" w:rsidP="002C1A33">
      <w:pPr>
        <w:numPr>
          <w:ilvl w:val="1"/>
          <w:numId w:val="2"/>
        </w:numPr>
        <w:jc w:val="both"/>
        <w:rPr>
          <w:rFonts w:ascii="Arial" w:hAnsi="Arial" w:cs="Arial"/>
          <w:sz w:val="20"/>
        </w:rPr>
      </w:pPr>
      <w:r w:rsidRPr="002C1A33">
        <w:rPr>
          <w:rFonts w:ascii="Arial" w:hAnsi="Arial" w:cs="Arial"/>
          <w:sz w:val="20"/>
        </w:rPr>
        <w:t xml:space="preserve">Climate change has and will continue to increase the frequency and severity of natural disasters, this is especially so for Australia. Australia has well established processes and institutions designed to respond to disasters refined by Australia’s history of natural disasters. After the devastating black summer bushfires in 2019-2020, a royal commission into National Natural Disaster Arrangements was established. The royal commissioners recommended in their final report that Australian, state and territory governments should develop arrangements that facilitate greater inclusion of primary healthcare providers in disaster management.  Recommendation 15.2 continued by calling for primary healthcare representation on relevant disaster committees and plans; and governments provide training, </w:t>
      </w:r>
      <w:proofErr w:type="gramStart"/>
      <w:r w:rsidRPr="002C1A33">
        <w:rPr>
          <w:rFonts w:ascii="Arial" w:hAnsi="Arial" w:cs="Arial"/>
          <w:sz w:val="20"/>
        </w:rPr>
        <w:t>education</w:t>
      </w:r>
      <w:proofErr w:type="gramEnd"/>
      <w:r w:rsidRPr="002C1A33">
        <w:rPr>
          <w:rFonts w:ascii="Arial" w:hAnsi="Arial" w:cs="Arial"/>
          <w:sz w:val="20"/>
        </w:rPr>
        <w:t xml:space="preserve"> and other supports. </w:t>
      </w:r>
    </w:p>
    <w:p w14:paraId="37C4E873" w14:textId="77777777" w:rsidR="002C1A33" w:rsidRPr="002C1A33" w:rsidRDefault="002C1A33" w:rsidP="002C1A33">
      <w:pPr>
        <w:numPr>
          <w:ilvl w:val="1"/>
          <w:numId w:val="2"/>
        </w:numPr>
        <w:jc w:val="both"/>
        <w:rPr>
          <w:rFonts w:ascii="Arial" w:hAnsi="Arial" w:cs="Arial"/>
          <w:sz w:val="20"/>
        </w:rPr>
      </w:pPr>
      <w:r w:rsidRPr="002C1A33">
        <w:rPr>
          <w:rFonts w:ascii="Arial" w:hAnsi="Arial" w:cs="Arial"/>
          <w:sz w:val="20"/>
        </w:rPr>
        <w:t>In any disaster situation, medical practitioners are called upon and volunteer to provide medical assistance and treatment in whatever way is required. During a natural disaster, General Practitioners (GPs) working in a disaster-affected area will immediately respond to the needs of their local community, and GPs from other locations will often volunteer to provide help on the ground, in hospitals, and in assisting local GPs to meet the increased need for services.</w:t>
      </w:r>
    </w:p>
    <w:p w14:paraId="18165B12" w14:textId="77777777" w:rsidR="002C1A33" w:rsidRPr="002C1A33" w:rsidRDefault="002C1A33" w:rsidP="002C1A33">
      <w:pPr>
        <w:numPr>
          <w:ilvl w:val="1"/>
          <w:numId w:val="2"/>
        </w:numPr>
        <w:jc w:val="both"/>
        <w:rPr>
          <w:rFonts w:ascii="Arial" w:hAnsi="Arial" w:cs="Arial"/>
          <w:sz w:val="20"/>
        </w:rPr>
      </w:pPr>
      <w:r w:rsidRPr="002C1A33">
        <w:rPr>
          <w:rFonts w:ascii="Arial" w:hAnsi="Arial" w:cs="Arial"/>
          <w:sz w:val="20"/>
        </w:rPr>
        <w:t xml:space="preserve">GP involvement in natural disasters has worked </w:t>
      </w:r>
      <w:proofErr w:type="gramStart"/>
      <w:r w:rsidRPr="002C1A33">
        <w:rPr>
          <w:rFonts w:ascii="Arial" w:hAnsi="Arial" w:cs="Arial"/>
          <w:sz w:val="20"/>
        </w:rPr>
        <w:t>on the basis of</w:t>
      </w:r>
      <w:proofErr w:type="gramEnd"/>
      <w:r w:rsidRPr="002C1A33">
        <w:rPr>
          <w:rFonts w:ascii="Arial" w:hAnsi="Arial" w:cs="Arial"/>
          <w:sz w:val="20"/>
        </w:rPr>
        <w:t xml:space="preserve"> goodwill and a strong volunteering ethic among medical practitioners at the time of a disaster. Planning for GP involvement has been ad hoc and has varied considerably across jurisdictions.</w:t>
      </w:r>
    </w:p>
    <w:p w14:paraId="63C0B02D" w14:textId="2CB08C78" w:rsidR="0036619E" w:rsidRPr="002C1A33" w:rsidRDefault="002C1A33" w:rsidP="002C1A33">
      <w:pPr>
        <w:numPr>
          <w:ilvl w:val="1"/>
          <w:numId w:val="2"/>
        </w:numPr>
        <w:jc w:val="both"/>
        <w:rPr>
          <w:rFonts w:ascii="Arial" w:hAnsi="Arial" w:cs="Arial"/>
          <w:sz w:val="20"/>
        </w:rPr>
      </w:pPr>
      <w:r w:rsidRPr="002C1A33">
        <w:rPr>
          <w:rFonts w:ascii="Arial" w:hAnsi="Arial" w:cs="Arial"/>
          <w:sz w:val="20"/>
        </w:rPr>
        <w:t>A concerted response to have GPs involved in natural disaster planning and part of response teams during a disaster or emergency across all jurisdictional layers as recommended by the Royal Commission on Disaster Arrangements will ensure all parts of Australia are better equipped to deal with the many primary health care needs that arise when a natural disaster strikes.</w:t>
      </w:r>
    </w:p>
    <w:p w14:paraId="72339FB6" w14:textId="77777777" w:rsidR="0036619E" w:rsidRDefault="0036619E">
      <w:pPr>
        <w:jc w:val="both"/>
        <w:rPr>
          <w:rFonts w:ascii="Arial" w:hAnsi="Arial" w:cs="Arial"/>
          <w:b/>
          <w:bCs/>
          <w:sz w:val="20"/>
        </w:rPr>
      </w:pPr>
    </w:p>
    <w:p w14:paraId="41830280" w14:textId="6AD78825" w:rsidR="0036619E" w:rsidRPr="002C1A33" w:rsidRDefault="00D9584B" w:rsidP="002C1A33">
      <w:pPr>
        <w:numPr>
          <w:ilvl w:val="0"/>
          <w:numId w:val="2"/>
        </w:numPr>
        <w:rPr>
          <w:rFonts w:ascii="Arial" w:hAnsi="Arial" w:cs="Arial"/>
          <w:b/>
          <w:bCs/>
          <w:sz w:val="20"/>
        </w:rPr>
      </w:pPr>
      <w:r>
        <w:rPr>
          <w:rFonts w:ascii="Arial" w:hAnsi="Arial" w:cs="Arial"/>
          <w:b/>
          <w:bCs/>
          <w:sz w:val="20"/>
        </w:rPr>
        <w:t xml:space="preserve"> </w:t>
      </w:r>
      <w:r w:rsidR="002C1A33" w:rsidRPr="002C1A33">
        <w:rPr>
          <w:rFonts w:ascii="Arial" w:hAnsi="Arial" w:cs="Arial"/>
          <w:b/>
          <w:bCs/>
          <w:sz w:val="20"/>
        </w:rPr>
        <w:t>Medical treatment and care for people affected by natural disasters/emergencies</w:t>
      </w:r>
    </w:p>
    <w:p w14:paraId="5A03CC3A" w14:textId="77777777" w:rsidR="0036619E" w:rsidRDefault="0036619E">
      <w:pPr>
        <w:jc w:val="both"/>
        <w:rPr>
          <w:rFonts w:ascii="Arial" w:hAnsi="Arial" w:cs="Arial"/>
          <w:sz w:val="20"/>
        </w:rPr>
      </w:pPr>
    </w:p>
    <w:p w14:paraId="5D2E9638" w14:textId="1627C9AD" w:rsidR="002C1A33" w:rsidRPr="002C1A33" w:rsidRDefault="002C1A33" w:rsidP="002C1A33">
      <w:pPr>
        <w:numPr>
          <w:ilvl w:val="1"/>
          <w:numId w:val="2"/>
        </w:numPr>
        <w:jc w:val="both"/>
        <w:rPr>
          <w:rFonts w:ascii="Arial" w:hAnsi="Arial" w:cs="Arial"/>
          <w:sz w:val="20"/>
        </w:rPr>
      </w:pPr>
      <w:r w:rsidRPr="002C1A33">
        <w:rPr>
          <w:rFonts w:ascii="Arial" w:hAnsi="Arial" w:cs="Arial"/>
          <w:sz w:val="20"/>
        </w:rPr>
        <w:t>Planning for emergency or disaster situations, particularly those that involve mass casualties, is incomplete and substandard if it does not consider and make provision for how GPs could effectively contribute to the response both on and off site.</w:t>
      </w:r>
    </w:p>
    <w:p w14:paraId="5F45BF67" w14:textId="77777777" w:rsidR="002C1A33" w:rsidRPr="002C1A33" w:rsidRDefault="002C1A33" w:rsidP="002C1A33">
      <w:pPr>
        <w:numPr>
          <w:ilvl w:val="1"/>
          <w:numId w:val="2"/>
        </w:numPr>
        <w:jc w:val="both"/>
        <w:rPr>
          <w:rFonts w:ascii="Arial" w:hAnsi="Arial" w:cs="Arial"/>
          <w:sz w:val="20"/>
        </w:rPr>
      </w:pPr>
      <w:r w:rsidRPr="002C1A33">
        <w:rPr>
          <w:rFonts w:ascii="Arial" w:hAnsi="Arial" w:cs="Arial"/>
          <w:sz w:val="20"/>
        </w:rPr>
        <w:t xml:space="preserve">In Australia, dedicated emergency management personnel take the role of leading an emergency management response.  Medical treatment and care for people affected by natural disasters and emergencies, however, is a significant aspect of emergency management.  GPs and General Practices are at the forefront of providing this care. For this </w:t>
      </w:r>
      <w:proofErr w:type="gramStart"/>
      <w:r w:rsidRPr="002C1A33">
        <w:rPr>
          <w:rFonts w:ascii="Arial" w:hAnsi="Arial" w:cs="Arial"/>
          <w:sz w:val="20"/>
        </w:rPr>
        <w:t>reason</w:t>
      </w:r>
      <w:proofErr w:type="gramEnd"/>
      <w:r w:rsidRPr="002C1A33">
        <w:rPr>
          <w:rFonts w:ascii="Arial" w:hAnsi="Arial" w:cs="Arial"/>
          <w:sz w:val="20"/>
        </w:rPr>
        <w:t xml:space="preserve"> GPs need to be part of the planning for - and response to – natural disasters and emergencies.</w:t>
      </w:r>
    </w:p>
    <w:p w14:paraId="11CCC330" w14:textId="77777777" w:rsidR="002C1A33" w:rsidRPr="002C1A33" w:rsidRDefault="002C1A33" w:rsidP="002C1A33">
      <w:pPr>
        <w:numPr>
          <w:ilvl w:val="1"/>
          <w:numId w:val="2"/>
        </w:numPr>
        <w:jc w:val="both"/>
        <w:rPr>
          <w:rFonts w:ascii="Arial" w:hAnsi="Arial" w:cs="Arial"/>
          <w:sz w:val="20"/>
        </w:rPr>
      </w:pPr>
      <w:r w:rsidRPr="002C1A33">
        <w:rPr>
          <w:rFonts w:ascii="Arial" w:hAnsi="Arial" w:cs="Arial"/>
          <w:sz w:val="20"/>
        </w:rPr>
        <w:t xml:space="preserve">Disaster management planning and preparedness occurs at every level of government in Australia. </w:t>
      </w:r>
      <w:proofErr w:type="gramStart"/>
      <w:r w:rsidRPr="002C1A33">
        <w:rPr>
          <w:rFonts w:ascii="Arial" w:hAnsi="Arial" w:cs="Arial"/>
          <w:sz w:val="20"/>
        </w:rPr>
        <w:t>In particular, State</w:t>
      </w:r>
      <w:proofErr w:type="gramEnd"/>
      <w:r w:rsidRPr="002C1A33">
        <w:rPr>
          <w:rFonts w:ascii="Arial" w:hAnsi="Arial" w:cs="Arial"/>
          <w:sz w:val="20"/>
        </w:rPr>
        <w:t xml:space="preserve"> and Territory Governments have legislative responsibility for matters such as assembly points, situation briefing, and chain of command and reporting requirements. As such, it is particularly important that the role of the GP be recognised and incorporated in State/Territory Government planning. Local governments also take responsibility for planning and management of disasters at the local level.</w:t>
      </w:r>
    </w:p>
    <w:p w14:paraId="7768CA12" w14:textId="77777777" w:rsidR="002C1A33" w:rsidRPr="002C1A33" w:rsidRDefault="002C1A33" w:rsidP="002C1A33">
      <w:pPr>
        <w:numPr>
          <w:ilvl w:val="1"/>
          <w:numId w:val="2"/>
        </w:numPr>
        <w:jc w:val="both"/>
        <w:rPr>
          <w:rFonts w:ascii="Arial" w:hAnsi="Arial" w:cs="Arial"/>
          <w:sz w:val="20"/>
        </w:rPr>
      </w:pPr>
      <w:r w:rsidRPr="002C1A33">
        <w:rPr>
          <w:rFonts w:ascii="Arial" w:hAnsi="Arial" w:cs="Arial"/>
          <w:sz w:val="20"/>
        </w:rPr>
        <w:t xml:space="preserve">The Commonwealth Government has a significant role as the main provider of health funding, particularly at the primary health care level. The Commonwealth also has a management role when disasters stretch over one or more </w:t>
      </w:r>
      <w:proofErr w:type="gramStart"/>
      <w:r w:rsidRPr="002C1A33">
        <w:rPr>
          <w:rFonts w:ascii="Arial" w:hAnsi="Arial" w:cs="Arial"/>
          <w:sz w:val="20"/>
        </w:rPr>
        <w:t>jurisdictions, or</w:t>
      </w:r>
      <w:proofErr w:type="gramEnd"/>
      <w:r w:rsidRPr="002C1A33">
        <w:rPr>
          <w:rFonts w:ascii="Arial" w:hAnsi="Arial" w:cs="Arial"/>
          <w:sz w:val="20"/>
        </w:rPr>
        <w:t xml:space="preserve"> have the potential to affect the health of people across jurisdictions.</w:t>
      </w:r>
    </w:p>
    <w:p w14:paraId="0A1D193E" w14:textId="77777777" w:rsidR="002C1A33" w:rsidRPr="002C1A33" w:rsidRDefault="002C1A33" w:rsidP="002C1A33">
      <w:pPr>
        <w:numPr>
          <w:ilvl w:val="1"/>
          <w:numId w:val="2"/>
        </w:numPr>
        <w:jc w:val="both"/>
        <w:rPr>
          <w:rFonts w:ascii="Arial" w:hAnsi="Arial" w:cs="Arial"/>
          <w:sz w:val="20"/>
        </w:rPr>
      </w:pPr>
      <w:r w:rsidRPr="002C1A33">
        <w:rPr>
          <w:rFonts w:ascii="Arial" w:hAnsi="Arial" w:cs="Arial"/>
          <w:sz w:val="20"/>
        </w:rPr>
        <w:lastRenderedPageBreak/>
        <w:t>The need to involve doctors, particularly GPs, in natural disaster preparedness and planning is being recognised worldwide. The World Medical Association (WMA) has recognised the growing need for doctors to be part of the medical planning and response to disasters and emergencies:</w:t>
      </w:r>
    </w:p>
    <w:p w14:paraId="195E0703" w14:textId="77777777" w:rsidR="002C1A33" w:rsidRPr="002C1A33" w:rsidRDefault="002C1A33" w:rsidP="002C1A33">
      <w:pPr>
        <w:numPr>
          <w:ilvl w:val="1"/>
          <w:numId w:val="2"/>
        </w:numPr>
        <w:jc w:val="both"/>
        <w:rPr>
          <w:rFonts w:ascii="Arial" w:hAnsi="Arial" w:cs="Arial"/>
          <w:sz w:val="20"/>
        </w:rPr>
      </w:pPr>
      <w:proofErr w:type="gramStart"/>
      <w:r w:rsidRPr="002C1A33">
        <w:rPr>
          <w:rFonts w:ascii="Arial" w:hAnsi="Arial" w:cs="Arial"/>
          <w:sz w:val="20"/>
        </w:rPr>
        <w:t>In light of</w:t>
      </w:r>
      <w:proofErr w:type="gramEnd"/>
      <w:r w:rsidRPr="002C1A33">
        <w:rPr>
          <w:rFonts w:ascii="Arial" w:hAnsi="Arial" w:cs="Arial"/>
          <w:sz w:val="20"/>
        </w:rPr>
        <w:t xml:space="preserve"> recent world events, it is increasingly clear that all physicians need to become more proficient in the recognition, diagnosis, and treatment of mass casualties under an all-hazards approach to disaster management and response.   They must be able to recognise the general features of disasters and public health </w:t>
      </w:r>
      <w:proofErr w:type="gramStart"/>
      <w:r w:rsidRPr="002C1A33">
        <w:rPr>
          <w:rFonts w:ascii="Arial" w:hAnsi="Arial" w:cs="Arial"/>
          <w:sz w:val="20"/>
        </w:rPr>
        <w:t>emergencies, and</w:t>
      </w:r>
      <w:proofErr w:type="gramEnd"/>
      <w:r w:rsidRPr="002C1A33">
        <w:rPr>
          <w:rFonts w:ascii="Arial" w:hAnsi="Arial" w:cs="Arial"/>
          <w:sz w:val="20"/>
        </w:rPr>
        <w:t xml:space="preserve"> be knowledgeable about how to report them and where to get more information should the need arise. Physicians are on the front lines when dealing with injury and disease - whether by microbes, environmental hazards, natural disasters, highway collisions, terrorism, or other calamities. Early detection and reporting are critical to minimise casualties through astute teamwork by public-and private-sector health and emergency response personnel.1 </w:t>
      </w:r>
    </w:p>
    <w:p w14:paraId="473FCD5D" w14:textId="77777777" w:rsidR="002C1A33" w:rsidRPr="002C1A33" w:rsidRDefault="002C1A33" w:rsidP="002C1A33">
      <w:pPr>
        <w:ind w:left="792"/>
        <w:jc w:val="both"/>
        <w:rPr>
          <w:rFonts w:ascii="Arial" w:hAnsi="Arial" w:cs="Arial"/>
          <w:sz w:val="20"/>
        </w:rPr>
      </w:pPr>
    </w:p>
    <w:p w14:paraId="5EFD7302" w14:textId="77777777" w:rsidR="00F5545D" w:rsidRDefault="002C1A33" w:rsidP="002C1A33">
      <w:pPr>
        <w:numPr>
          <w:ilvl w:val="1"/>
          <w:numId w:val="2"/>
        </w:numPr>
        <w:jc w:val="both"/>
        <w:rPr>
          <w:rFonts w:ascii="Arial" w:hAnsi="Arial" w:cs="Arial"/>
          <w:sz w:val="20"/>
        </w:rPr>
      </w:pPr>
      <w:r w:rsidRPr="002C1A33">
        <w:rPr>
          <w:rFonts w:ascii="Arial" w:hAnsi="Arial" w:cs="Arial"/>
          <w:sz w:val="20"/>
        </w:rPr>
        <w:t xml:space="preserve">In Australia, during many types of natural and other disasters, GPs have been at the forefront of providing care and treatment and offering whatever medical support is necessary in </w:t>
      </w:r>
      <w:proofErr w:type="gramStart"/>
      <w:r w:rsidRPr="002C1A33">
        <w:rPr>
          <w:rFonts w:ascii="Arial" w:hAnsi="Arial" w:cs="Arial"/>
          <w:sz w:val="20"/>
        </w:rPr>
        <w:t>a crisis situation</w:t>
      </w:r>
      <w:proofErr w:type="gramEnd"/>
      <w:r w:rsidRPr="002C1A33">
        <w:rPr>
          <w:rFonts w:ascii="Arial" w:hAnsi="Arial" w:cs="Arial"/>
          <w:sz w:val="20"/>
        </w:rPr>
        <w:t xml:space="preserve">. </w:t>
      </w:r>
    </w:p>
    <w:p w14:paraId="3C3209E4" w14:textId="77777777" w:rsidR="00F5545D" w:rsidRDefault="00F5545D" w:rsidP="00F5545D">
      <w:pPr>
        <w:pStyle w:val="ListParagraph"/>
        <w:rPr>
          <w:rFonts w:ascii="Arial" w:hAnsi="Arial" w:cs="Arial"/>
          <w:sz w:val="20"/>
        </w:rPr>
      </w:pPr>
    </w:p>
    <w:p w14:paraId="570CB2D6" w14:textId="365345A7" w:rsidR="00F5545D" w:rsidRPr="00F5545D" w:rsidRDefault="002C1A33" w:rsidP="00F5545D">
      <w:pPr>
        <w:numPr>
          <w:ilvl w:val="1"/>
          <w:numId w:val="2"/>
        </w:numPr>
        <w:jc w:val="both"/>
        <w:rPr>
          <w:rFonts w:ascii="Arial" w:hAnsi="Arial" w:cs="Arial"/>
          <w:sz w:val="20"/>
        </w:rPr>
      </w:pPr>
      <w:r w:rsidRPr="00F5545D">
        <w:rPr>
          <w:rFonts w:ascii="Arial" w:hAnsi="Arial" w:cs="Arial"/>
          <w:sz w:val="20"/>
        </w:rPr>
        <w:t>This Position Statement aims to ensure that the role of the GP in emergency and disaster situations is formally recognised and that, wherever possible, GPs:</w:t>
      </w:r>
    </w:p>
    <w:p w14:paraId="6D297A28" w14:textId="1FA506B5" w:rsidR="002C1A33" w:rsidRPr="002C1A33" w:rsidRDefault="002C1A33" w:rsidP="5AFE75A7">
      <w:pPr>
        <w:numPr>
          <w:ilvl w:val="0"/>
          <w:numId w:val="3"/>
        </w:numPr>
        <w:ind w:left="1418"/>
        <w:jc w:val="both"/>
        <w:rPr>
          <w:rFonts w:ascii="Arial" w:hAnsi="Arial" w:cs="Arial"/>
          <w:sz w:val="20"/>
        </w:rPr>
      </w:pPr>
      <w:r w:rsidRPr="5AFE75A7">
        <w:rPr>
          <w:rFonts w:ascii="Arial" w:hAnsi="Arial" w:cs="Arial"/>
          <w:sz w:val="20"/>
        </w:rPr>
        <w:t>are part of disaster and emergency management response and recovery planning and preparation; and</w:t>
      </w:r>
    </w:p>
    <w:p w14:paraId="6B4036A8" w14:textId="4BA00F45" w:rsidR="002C1A33" w:rsidRPr="002C1A33" w:rsidRDefault="002C1A33" w:rsidP="5AFE75A7">
      <w:pPr>
        <w:numPr>
          <w:ilvl w:val="0"/>
          <w:numId w:val="3"/>
        </w:numPr>
        <w:ind w:left="1418"/>
        <w:jc w:val="both"/>
        <w:rPr>
          <w:rFonts w:ascii="Arial" w:hAnsi="Arial" w:cs="Arial"/>
          <w:sz w:val="20"/>
        </w:rPr>
      </w:pPr>
      <w:r w:rsidRPr="5AFE75A7">
        <w:rPr>
          <w:rFonts w:ascii="Arial" w:hAnsi="Arial" w:cs="Arial"/>
          <w:sz w:val="20"/>
        </w:rPr>
        <w:t>are included in the emergency response and recovery teams at the time of any crisis or disaster.</w:t>
      </w:r>
    </w:p>
    <w:p w14:paraId="37D7FB10" w14:textId="197DBB0D" w:rsidR="0036619E" w:rsidRPr="002C1A33" w:rsidRDefault="0036619E" w:rsidP="00F5545D">
      <w:pPr>
        <w:ind w:left="1418"/>
        <w:jc w:val="both"/>
        <w:rPr>
          <w:rFonts w:ascii="Arial" w:hAnsi="Arial" w:cs="Arial"/>
          <w:sz w:val="20"/>
        </w:rPr>
      </w:pPr>
    </w:p>
    <w:p w14:paraId="73C75DA4" w14:textId="5FA5E71E" w:rsidR="0036619E" w:rsidRDefault="00F5545D">
      <w:pPr>
        <w:numPr>
          <w:ilvl w:val="0"/>
          <w:numId w:val="2"/>
        </w:numPr>
        <w:jc w:val="both"/>
        <w:rPr>
          <w:rFonts w:ascii="Arial" w:hAnsi="Arial" w:cs="Arial"/>
          <w:b/>
          <w:bCs/>
          <w:sz w:val="20"/>
        </w:rPr>
      </w:pPr>
      <w:r>
        <w:rPr>
          <w:rFonts w:ascii="Arial" w:hAnsi="Arial" w:cs="Arial"/>
          <w:b/>
          <w:bCs/>
          <w:sz w:val="20"/>
        </w:rPr>
        <w:t>AMA Position</w:t>
      </w:r>
    </w:p>
    <w:p w14:paraId="42604BB2" w14:textId="77777777" w:rsidR="0036619E" w:rsidRDefault="0036619E">
      <w:pPr>
        <w:jc w:val="both"/>
        <w:rPr>
          <w:rFonts w:ascii="Arial" w:hAnsi="Arial" w:cs="Arial"/>
          <w:sz w:val="20"/>
        </w:rPr>
      </w:pPr>
    </w:p>
    <w:p w14:paraId="739D0DB5" w14:textId="5790AE5C" w:rsidR="00F5545D" w:rsidRPr="00F5545D" w:rsidRDefault="00F5545D" w:rsidP="1BAB9011">
      <w:pPr>
        <w:jc w:val="both"/>
        <w:rPr>
          <w:rFonts w:ascii="Arial" w:hAnsi="Arial" w:cs="Arial"/>
          <w:sz w:val="20"/>
        </w:rPr>
      </w:pPr>
      <w:r w:rsidRPr="5AFE75A7">
        <w:rPr>
          <w:rFonts w:ascii="Arial" w:hAnsi="Arial" w:cs="Arial"/>
          <w:sz w:val="20"/>
        </w:rPr>
        <w:t xml:space="preserve">The AMA calls on each level of government in Australia to implement the recommendations of the Royal Commission into National Natural Disaster Arrangements and </w:t>
      </w:r>
      <w:proofErr w:type="gramStart"/>
      <w:r w:rsidRPr="5AFE75A7">
        <w:rPr>
          <w:rFonts w:ascii="Arial" w:hAnsi="Arial" w:cs="Arial"/>
          <w:sz w:val="20"/>
        </w:rPr>
        <w:t>give consideration to</w:t>
      </w:r>
      <w:proofErr w:type="gramEnd"/>
      <w:r w:rsidRPr="5AFE75A7">
        <w:rPr>
          <w:rFonts w:ascii="Arial" w:hAnsi="Arial" w:cs="Arial"/>
          <w:sz w:val="20"/>
        </w:rPr>
        <w:t xml:space="preserve"> the role that GPs can play in assisting with emergency or disaster situations. There are </w:t>
      </w:r>
      <w:proofErr w:type="gramStart"/>
      <w:r w:rsidRPr="5AFE75A7">
        <w:rPr>
          <w:rFonts w:ascii="Arial" w:hAnsi="Arial" w:cs="Arial"/>
          <w:sz w:val="20"/>
        </w:rPr>
        <w:t>a number of</w:t>
      </w:r>
      <w:proofErr w:type="gramEnd"/>
      <w:r w:rsidRPr="5AFE75A7">
        <w:rPr>
          <w:rFonts w:ascii="Arial" w:hAnsi="Arial" w:cs="Arial"/>
          <w:sz w:val="20"/>
        </w:rPr>
        <w:t xml:space="preserve"> roles that GPs can play in an emergency or disaster situation. These include but are not limited to:</w:t>
      </w:r>
    </w:p>
    <w:p w14:paraId="6B23CD7D" w14:textId="77777777" w:rsidR="00F5545D" w:rsidRDefault="00F5545D" w:rsidP="00F5545D">
      <w:pPr>
        <w:ind w:left="792"/>
        <w:jc w:val="both"/>
        <w:rPr>
          <w:rFonts w:ascii="Arial" w:hAnsi="Arial" w:cs="Arial"/>
          <w:sz w:val="20"/>
        </w:rPr>
      </w:pPr>
    </w:p>
    <w:p w14:paraId="578F349D" w14:textId="77777777" w:rsidR="00F5545D" w:rsidRDefault="00F5545D" w:rsidP="00F5545D">
      <w:pPr>
        <w:numPr>
          <w:ilvl w:val="2"/>
          <w:numId w:val="2"/>
        </w:numPr>
        <w:jc w:val="both"/>
        <w:rPr>
          <w:rFonts w:ascii="Arial" w:hAnsi="Arial" w:cs="Arial"/>
          <w:sz w:val="20"/>
        </w:rPr>
      </w:pPr>
      <w:r w:rsidRPr="00F5545D">
        <w:rPr>
          <w:rFonts w:ascii="Arial" w:hAnsi="Arial" w:cs="Arial"/>
          <w:sz w:val="20"/>
        </w:rPr>
        <w:t xml:space="preserve">Participating in medical response teams to assist on-site with triaging, field treatment, and supervising the provision of first </w:t>
      </w:r>
      <w:proofErr w:type="gramStart"/>
      <w:r w:rsidRPr="00F5545D">
        <w:rPr>
          <w:rFonts w:ascii="Arial" w:hAnsi="Arial" w:cs="Arial"/>
          <w:sz w:val="20"/>
        </w:rPr>
        <w:t>aid;</w:t>
      </w:r>
      <w:proofErr w:type="gramEnd"/>
    </w:p>
    <w:p w14:paraId="2BE23CC9" w14:textId="77777777" w:rsidR="00F5545D" w:rsidRDefault="00F5545D" w:rsidP="00F5545D">
      <w:pPr>
        <w:numPr>
          <w:ilvl w:val="2"/>
          <w:numId w:val="2"/>
        </w:numPr>
        <w:jc w:val="both"/>
        <w:rPr>
          <w:rFonts w:ascii="Arial" w:hAnsi="Arial" w:cs="Arial"/>
          <w:sz w:val="20"/>
        </w:rPr>
      </w:pPr>
      <w:r w:rsidRPr="00F5545D">
        <w:rPr>
          <w:rFonts w:ascii="Arial" w:hAnsi="Arial" w:cs="Arial"/>
          <w:sz w:val="20"/>
        </w:rPr>
        <w:t>Treating the walking wounded either on-site, at evacuation centres, or in rooms (including providing vaccinations if needed</w:t>
      </w:r>
      <w:proofErr w:type="gramStart"/>
      <w:r w:rsidRPr="00F5545D">
        <w:rPr>
          <w:rFonts w:ascii="Arial" w:hAnsi="Arial" w:cs="Arial"/>
          <w:sz w:val="20"/>
        </w:rPr>
        <w:t>);</w:t>
      </w:r>
      <w:proofErr w:type="gramEnd"/>
    </w:p>
    <w:p w14:paraId="2142A504" w14:textId="77777777" w:rsidR="00F5545D" w:rsidRDefault="00F5545D" w:rsidP="00F5545D">
      <w:pPr>
        <w:numPr>
          <w:ilvl w:val="2"/>
          <w:numId w:val="2"/>
        </w:numPr>
        <w:jc w:val="both"/>
        <w:rPr>
          <w:rFonts w:ascii="Arial" w:hAnsi="Arial" w:cs="Arial"/>
          <w:sz w:val="20"/>
        </w:rPr>
      </w:pPr>
      <w:r w:rsidRPr="00F5545D">
        <w:rPr>
          <w:rFonts w:ascii="Arial" w:hAnsi="Arial" w:cs="Arial"/>
          <w:sz w:val="20"/>
        </w:rPr>
        <w:t>Providing support (</w:t>
      </w:r>
      <w:proofErr w:type="gramStart"/>
      <w:r w:rsidRPr="00F5545D">
        <w:rPr>
          <w:rFonts w:ascii="Arial" w:hAnsi="Arial" w:cs="Arial"/>
          <w:sz w:val="20"/>
        </w:rPr>
        <w:t>i.e.</w:t>
      </w:r>
      <w:proofErr w:type="gramEnd"/>
      <w:r w:rsidRPr="00F5545D">
        <w:rPr>
          <w:rFonts w:ascii="Arial" w:hAnsi="Arial" w:cs="Arial"/>
          <w:sz w:val="20"/>
        </w:rPr>
        <w:t xml:space="preserve"> backfill) for hospitals to maintain their capacity function; and</w:t>
      </w:r>
    </w:p>
    <w:p w14:paraId="14C1548F" w14:textId="77777777" w:rsidR="00F5545D" w:rsidRPr="00F5545D" w:rsidRDefault="00F5545D" w:rsidP="00F5545D">
      <w:pPr>
        <w:numPr>
          <w:ilvl w:val="2"/>
          <w:numId w:val="2"/>
        </w:numPr>
        <w:jc w:val="both"/>
        <w:rPr>
          <w:rFonts w:ascii="Arial" w:hAnsi="Arial" w:cs="Arial"/>
          <w:sz w:val="20"/>
        </w:rPr>
      </w:pPr>
      <w:r w:rsidRPr="00F5545D">
        <w:rPr>
          <w:rFonts w:ascii="Arial" w:hAnsi="Arial" w:cs="Arial"/>
          <w:sz w:val="20"/>
        </w:rPr>
        <w:t>Ensuring continued community access to primary health care.</w:t>
      </w:r>
    </w:p>
    <w:p w14:paraId="5022C68A" w14:textId="57D5BE13" w:rsidR="00F5545D" w:rsidRDefault="00F5545D" w:rsidP="00F5545D">
      <w:pPr>
        <w:jc w:val="both"/>
        <w:rPr>
          <w:rFonts w:ascii="Arial" w:hAnsi="Arial" w:cs="Arial"/>
          <w:sz w:val="20"/>
        </w:rPr>
      </w:pPr>
    </w:p>
    <w:p w14:paraId="11F24DC0" w14:textId="65B7136D" w:rsidR="00F5545D" w:rsidRPr="00F5545D" w:rsidRDefault="00F5545D" w:rsidP="00F5545D">
      <w:pPr>
        <w:numPr>
          <w:ilvl w:val="1"/>
          <w:numId w:val="7"/>
        </w:numPr>
        <w:jc w:val="both"/>
        <w:rPr>
          <w:rFonts w:ascii="Arial" w:hAnsi="Arial" w:cs="Arial"/>
          <w:sz w:val="20"/>
        </w:rPr>
      </w:pPr>
      <w:r w:rsidRPr="00F5545D">
        <w:rPr>
          <w:rFonts w:ascii="Arial" w:hAnsi="Arial" w:cs="Arial"/>
          <w:sz w:val="20"/>
          <w:u w:val="single"/>
        </w:rPr>
        <w:t>Planning and response preparation for a natural disaster</w:t>
      </w:r>
    </w:p>
    <w:p w14:paraId="3B713C20" w14:textId="77777777" w:rsidR="00F5545D" w:rsidRPr="00F5545D" w:rsidRDefault="00F5545D" w:rsidP="00F5545D">
      <w:pPr>
        <w:ind w:left="792"/>
        <w:jc w:val="both"/>
        <w:rPr>
          <w:rFonts w:ascii="Arial" w:hAnsi="Arial" w:cs="Arial"/>
          <w:sz w:val="20"/>
        </w:rPr>
      </w:pPr>
    </w:p>
    <w:p w14:paraId="179D6DF5" w14:textId="77777777" w:rsidR="00F5545D" w:rsidRPr="00F5545D" w:rsidRDefault="00F5545D" w:rsidP="00F5545D">
      <w:pPr>
        <w:jc w:val="both"/>
        <w:rPr>
          <w:rFonts w:ascii="Arial" w:hAnsi="Arial" w:cs="Arial"/>
          <w:sz w:val="20"/>
        </w:rPr>
      </w:pPr>
      <w:r w:rsidRPr="00F5545D">
        <w:rPr>
          <w:rFonts w:ascii="Arial" w:hAnsi="Arial" w:cs="Arial"/>
          <w:sz w:val="20"/>
        </w:rPr>
        <w:t>Some GPs hold a Major Incident Medical Management (MIMM) certificate or equivalent and some GPs are part of Australian Medical Assistance Teams (AUSMAT), which are teams available for deployment in jurisdictional and international emergency situations.</w:t>
      </w:r>
    </w:p>
    <w:p w14:paraId="0D90141E" w14:textId="77777777" w:rsidR="00F5545D" w:rsidRPr="00F5545D" w:rsidRDefault="00F5545D" w:rsidP="00F5545D">
      <w:pPr>
        <w:jc w:val="both"/>
        <w:rPr>
          <w:rFonts w:ascii="Arial" w:hAnsi="Arial" w:cs="Arial"/>
          <w:sz w:val="20"/>
        </w:rPr>
      </w:pPr>
    </w:p>
    <w:p w14:paraId="6B607AA5" w14:textId="77777777" w:rsidR="00F5545D" w:rsidRPr="00F5545D" w:rsidRDefault="00F5545D" w:rsidP="00F5545D">
      <w:pPr>
        <w:jc w:val="both"/>
        <w:rPr>
          <w:rFonts w:ascii="Arial" w:hAnsi="Arial" w:cs="Arial"/>
          <w:sz w:val="20"/>
        </w:rPr>
      </w:pPr>
      <w:r w:rsidRPr="00F5545D">
        <w:rPr>
          <w:rFonts w:ascii="Arial" w:hAnsi="Arial" w:cs="Arial"/>
          <w:sz w:val="20"/>
        </w:rPr>
        <w:t xml:space="preserve">Planning and response preparation for a natural disaster requires jurisdictional plans to factor in the skills and abilities of GPs holding MIMM certificates and members of AUSMATs, as well as factoring in the roles of other GPs who can provide care, </w:t>
      </w:r>
      <w:proofErr w:type="gramStart"/>
      <w:r w:rsidRPr="00F5545D">
        <w:rPr>
          <w:rFonts w:ascii="Arial" w:hAnsi="Arial" w:cs="Arial"/>
          <w:sz w:val="20"/>
        </w:rPr>
        <w:t>treatment</w:t>
      </w:r>
      <w:proofErr w:type="gramEnd"/>
      <w:r w:rsidRPr="00F5545D">
        <w:rPr>
          <w:rFonts w:ascii="Arial" w:hAnsi="Arial" w:cs="Arial"/>
          <w:sz w:val="20"/>
        </w:rPr>
        <w:t xml:space="preserve"> and support during a natural disaster.</w:t>
      </w:r>
    </w:p>
    <w:p w14:paraId="6F4DEB2C" w14:textId="77777777" w:rsidR="00F5545D" w:rsidRPr="00F5545D" w:rsidRDefault="00F5545D" w:rsidP="00F5545D">
      <w:pPr>
        <w:jc w:val="both"/>
        <w:rPr>
          <w:rFonts w:ascii="Arial" w:hAnsi="Arial" w:cs="Arial"/>
          <w:sz w:val="20"/>
        </w:rPr>
      </w:pPr>
    </w:p>
    <w:p w14:paraId="1B43F218" w14:textId="77777777" w:rsidR="00F5545D" w:rsidRPr="00F5545D" w:rsidRDefault="00F5545D" w:rsidP="00F5545D">
      <w:pPr>
        <w:jc w:val="both"/>
        <w:rPr>
          <w:rFonts w:ascii="Arial" w:hAnsi="Arial" w:cs="Arial"/>
          <w:sz w:val="20"/>
        </w:rPr>
      </w:pPr>
      <w:r w:rsidRPr="00F5545D">
        <w:rPr>
          <w:rFonts w:ascii="Arial" w:hAnsi="Arial" w:cs="Arial"/>
          <w:sz w:val="20"/>
        </w:rPr>
        <w:t xml:space="preserve">Emergency management and disaster preparedness training tailored to GPs should be </w:t>
      </w:r>
      <w:proofErr w:type="gramStart"/>
      <w:r w:rsidRPr="00F5545D">
        <w:rPr>
          <w:rFonts w:ascii="Arial" w:hAnsi="Arial" w:cs="Arial"/>
          <w:sz w:val="20"/>
        </w:rPr>
        <w:t>provided, and</w:t>
      </w:r>
      <w:proofErr w:type="gramEnd"/>
      <w:r w:rsidRPr="00F5545D">
        <w:rPr>
          <w:rFonts w:ascii="Arial" w:hAnsi="Arial" w:cs="Arial"/>
          <w:sz w:val="20"/>
        </w:rPr>
        <w:t xml:space="preserve"> be easily accessible for all interested GPs.</w:t>
      </w:r>
    </w:p>
    <w:p w14:paraId="18AB46FB" w14:textId="77777777" w:rsidR="00F5545D" w:rsidRPr="00F5545D" w:rsidRDefault="00F5545D" w:rsidP="00F5545D">
      <w:pPr>
        <w:jc w:val="both"/>
        <w:rPr>
          <w:rFonts w:ascii="Arial" w:hAnsi="Arial" w:cs="Arial"/>
          <w:sz w:val="20"/>
        </w:rPr>
      </w:pPr>
    </w:p>
    <w:p w14:paraId="7DCED0DD" w14:textId="77777777" w:rsidR="00F5545D" w:rsidRPr="00F5545D" w:rsidRDefault="00F5545D" w:rsidP="00F5545D">
      <w:pPr>
        <w:jc w:val="both"/>
        <w:rPr>
          <w:rFonts w:ascii="Arial" w:hAnsi="Arial" w:cs="Arial"/>
          <w:sz w:val="20"/>
        </w:rPr>
      </w:pPr>
      <w:r w:rsidRPr="00F5545D">
        <w:rPr>
          <w:rFonts w:ascii="Arial" w:hAnsi="Arial" w:cs="Arial"/>
          <w:sz w:val="20"/>
        </w:rPr>
        <w:t>All jurisdictions need to have databases to record:</w:t>
      </w:r>
    </w:p>
    <w:p w14:paraId="022FABA5" w14:textId="77777777" w:rsidR="00F5545D" w:rsidRPr="00F5545D" w:rsidRDefault="00F5545D" w:rsidP="00F5545D">
      <w:pPr>
        <w:jc w:val="both"/>
        <w:rPr>
          <w:rFonts w:ascii="Arial" w:hAnsi="Arial" w:cs="Arial"/>
          <w:sz w:val="20"/>
        </w:rPr>
      </w:pPr>
    </w:p>
    <w:p w14:paraId="79D88811" w14:textId="77777777" w:rsidR="00F5545D" w:rsidRPr="00F5545D" w:rsidRDefault="00F5545D" w:rsidP="00F5545D">
      <w:pPr>
        <w:numPr>
          <w:ilvl w:val="0"/>
          <w:numId w:val="4"/>
        </w:numPr>
        <w:jc w:val="both"/>
        <w:rPr>
          <w:rFonts w:ascii="Arial" w:hAnsi="Arial" w:cs="Arial"/>
          <w:sz w:val="20"/>
        </w:rPr>
      </w:pPr>
      <w:r w:rsidRPr="00F5545D">
        <w:rPr>
          <w:rFonts w:ascii="Arial" w:hAnsi="Arial" w:cs="Arial"/>
          <w:sz w:val="20"/>
        </w:rPr>
        <w:t xml:space="preserve">the GPs with the appropriate training who are willing to participate in a medical response </w:t>
      </w:r>
      <w:proofErr w:type="gramStart"/>
      <w:r w:rsidRPr="00F5545D">
        <w:rPr>
          <w:rFonts w:ascii="Arial" w:hAnsi="Arial" w:cs="Arial"/>
          <w:sz w:val="20"/>
        </w:rPr>
        <w:t>team;</w:t>
      </w:r>
      <w:proofErr w:type="gramEnd"/>
    </w:p>
    <w:p w14:paraId="02E8FE0D" w14:textId="77777777" w:rsidR="00F5545D" w:rsidRPr="00F5545D" w:rsidRDefault="00F5545D" w:rsidP="00F5545D">
      <w:pPr>
        <w:numPr>
          <w:ilvl w:val="0"/>
          <w:numId w:val="4"/>
        </w:numPr>
        <w:jc w:val="both"/>
        <w:rPr>
          <w:rFonts w:ascii="Arial" w:hAnsi="Arial" w:cs="Arial"/>
          <w:sz w:val="20"/>
        </w:rPr>
      </w:pPr>
      <w:r w:rsidRPr="00F5545D">
        <w:rPr>
          <w:rFonts w:ascii="Arial" w:hAnsi="Arial" w:cs="Arial"/>
          <w:sz w:val="20"/>
        </w:rPr>
        <w:t>the GPs who are willing to assist as required out of rooms; and</w:t>
      </w:r>
    </w:p>
    <w:p w14:paraId="3F66E54E" w14:textId="77777777" w:rsidR="00F5545D" w:rsidRPr="00F5545D" w:rsidRDefault="00F5545D" w:rsidP="00F5545D">
      <w:pPr>
        <w:numPr>
          <w:ilvl w:val="0"/>
          <w:numId w:val="4"/>
        </w:numPr>
        <w:jc w:val="both"/>
        <w:rPr>
          <w:rFonts w:ascii="Arial" w:hAnsi="Arial" w:cs="Arial"/>
          <w:sz w:val="20"/>
        </w:rPr>
      </w:pPr>
      <w:r w:rsidRPr="00F5545D">
        <w:rPr>
          <w:rFonts w:ascii="Arial" w:hAnsi="Arial" w:cs="Arial"/>
          <w:sz w:val="20"/>
        </w:rPr>
        <w:lastRenderedPageBreak/>
        <w:t>the GPs who are willing to assist as required in their rooms.</w:t>
      </w:r>
    </w:p>
    <w:p w14:paraId="6977BE19" w14:textId="77777777" w:rsidR="00F5545D" w:rsidRPr="00F5545D" w:rsidRDefault="00F5545D" w:rsidP="00F5545D">
      <w:pPr>
        <w:jc w:val="both"/>
        <w:rPr>
          <w:rFonts w:ascii="Arial" w:hAnsi="Arial" w:cs="Arial"/>
          <w:sz w:val="20"/>
        </w:rPr>
      </w:pPr>
    </w:p>
    <w:p w14:paraId="31C4B0FB" w14:textId="77777777" w:rsidR="00F5545D" w:rsidRPr="00F5545D" w:rsidRDefault="00F5545D" w:rsidP="00F5545D">
      <w:pPr>
        <w:jc w:val="both"/>
        <w:rPr>
          <w:rFonts w:ascii="Arial" w:hAnsi="Arial" w:cs="Arial"/>
          <w:sz w:val="20"/>
        </w:rPr>
      </w:pPr>
      <w:r w:rsidRPr="00F5545D">
        <w:rPr>
          <w:rFonts w:ascii="Arial" w:hAnsi="Arial" w:cs="Arial"/>
          <w:sz w:val="20"/>
        </w:rPr>
        <w:t>Appropriate GP representation is required on emergency/disaster planning committees across all levels of government.</w:t>
      </w:r>
    </w:p>
    <w:p w14:paraId="61C6563D" w14:textId="77777777" w:rsidR="00F5545D" w:rsidRPr="00F5545D" w:rsidRDefault="00F5545D" w:rsidP="00F5545D">
      <w:pPr>
        <w:jc w:val="both"/>
        <w:rPr>
          <w:rFonts w:ascii="Arial" w:hAnsi="Arial" w:cs="Arial"/>
          <w:sz w:val="20"/>
        </w:rPr>
      </w:pPr>
    </w:p>
    <w:p w14:paraId="12883714" w14:textId="755964B1" w:rsidR="00F5545D" w:rsidRPr="00F5545D" w:rsidRDefault="00F5545D" w:rsidP="5AFE75A7">
      <w:pPr>
        <w:jc w:val="both"/>
        <w:rPr>
          <w:rFonts w:ascii="Arial" w:hAnsi="Arial" w:cs="Arial"/>
          <w:sz w:val="20"/>
        </w:rPr>
      </w:pPr>
      <w:r w:rsidRPr="5AFE75A7">
        <w:rPr>
          <w:rFonts w:ascii="Arial" w:hAnsi="Arial" w:cs="Arial"/>
          <w:sz w:val="20"/>
        </w:rPr>
        <w:t>In addition, each jurisdiction needs a communication protocol to contact GPs in an emergency/disaster situation. These protocols should also include provision for retired GPs to participate.</w:t>
      </w:r>
    </w:p>
    <w:p w14:paraId="4A15B9D2" w14:textId="77777777" w:rsidR="00F5545D" w:rsidRDefault="00F5545D" w:rsidP="00F5545D">
      <w:pPr>
        <w:jc w:val="both"/>
        <w:rPr>
          <w:rFonts w:ascii="Arial" w:hAnsi="Arial" w:cs="Arial"/>
          <w:sz w:val="20"/>
          <w:u w:val="single"/>
        </w:rPr>
      </w:pPr>
    </w:p>
    <w:p w14:paraId="0EB5C14D" w14:textId="1D7E5DF6" w:rsidR="00F5545D" w:rsidRPr="00F5545D" w:rsidRDefault="00F5545D" w:rsidP="000038CA">
      <w:pPr>
        <w:numPr>
          <w:ilvl w:val="1"/>
          <w:numId w:val="11"/>
        </w:numPr>
        <w:jc w:val="both"/>
        <w:rPr>
          <w:rFonts w:ascii="Arial" w:hAnsi="Arial" w:cs="Arial"/>
          <w:sz w:val="20"/>
          <w:u w:val="single"/>
        </w:rPr>
      </w:pPr>
      <w:r w:rsidRPr="00F5545D">
        <w:rPr>
          <w:rFonts w:ascii="Arial" w:hAnsi="Arial" w:cs="Arial"/>
          <w:sz w:val="20"/>
          <w:u w:val="single"/>
        </w:rPr>
        <w:t xml:space="preserve">Provision of information in </w:t>
      </w:r>
      <w:proofErr w:type="gramStart"/>
      <w:r w:rsidRPr="00F5545D">
        <w:rPr>
          <w:rFonts w:ascii="Arial" w:hAnsi="Arial" w:cs="Arial"/>
          <w:sz w:val="20"/>
          <w:u w:val="single"/>
        </w:rPr>
        <w:t>an emergency situation</w:t>
      </w:r>
      <w:proofErr w:type="gramEnd"/>
    </w:p>
    <w:p w14:paraId="6DC561F0" w14:textId="77777777" w:rsidR="00F5545D" w:rsidRPr="00F5545D" w:rsidRDefault="00F5545D" w:rsidP="00F5545D">
      <w:pPr>
        <w:jc w:val="both"/>
        <w:rPr>
          <w:rFonts w:ascii="Arial" w:hAnsi="Arial" w:cs="Arial"/>
          <w:sz w:val="20"/>
        </w:rPr>
      </w:pPr>
    </w:p>
    <w:p w14:paraId="484B3284" w14:textId="74A69523" w:rsidR="00F5545D" w:rsidRPr="00F5545D" w:rsidRDefault="00F5545D" w:rsidP="5AFE75A7">
      <w:pPr>
        <w:jc w:val="both"/>
        <w:rPr>
          <w:rFonts w:ascii="Arial" w:hAnsi="Arial" w:cs="Arial"/>
          <w:sz w:val="20"/>
        </w:rPr>
      </w:pPr>
      <w:r w:rsidRPr="5AFE75A7">
        <w:rPr>
          <w:rFonts w:ascii="Arial" w:hAnsi="Arial" w:cs="Arial"/>
          <w:sz w:val="20"/>
        </w:rPr>
        <w:t xml:space="preserve">In a natural disaster or </w:t>
      </w:r>
      <w:proofErr w:type="gramStart"/>
      <w:r w:rsidRPr="5AFE75A7">
        <w:rPr>
          <w:rFonts w:ascii="Arial" w:hAnsi="Arial" w:cs="Arial"/>
          <w:sz w:val="20"/>
        </w:rPr>
        <w:t>emergency situation</w:t>
      </w:r>
      <w:proofErr w:type="gramEnd"/>
      <w:r w:rsidRPr="5AFE75A7">
        <w:rPr>
          <w:rFonts w:ascii="Arial" w:hAnsi="Arial" w:cs="Arial"/>
          <w:sz w:val="20"/>
        </w:rPr>
        <w:t>, at minimum GPs will need to be provided with the following information:</w:t>
      </w:r>
    </w:p>
    <w:p w14:paraId="07DDD563" w14:textId="77777777" w:rsidR="00F5545D" w:rsidRPr="00F5545D" w:rsidRDefault="00F5545D" w:rsidP="00F5545D">
      <w:pPr>
        <w:jc w:val="both"/>
        <w:rPr>
          <w:rFonts w:ascii="Arial" w:hAnsi="Arial" w:cs="Arial"/>
          <w:sz w:val="20"/>
        </w:rPr>
      </w:pPr>
    </w:p>
    <w:p w14:paraId="644FEBDD" w14:textId="77777777" w:rsidR="00F5545D" w:rsidRPr="00F5545D" w:rsidRDefault="00F5545D" w:rsidP="00F5545D">
      <w:pPr>
        <w:numPr>
          <w:ilvl w:val="0"/>
          <w:numId w:val="4"/>
        </w:numPr>
        <w:jc w:val="both"/>
        <w:rPr>
          <w:rFonts w:ascii="Arial" w:hAnsi="Arial" w:cs="Arial"/>
          <w:sz w:val="20"/>
        </w:rPr>
      </w:pPr>
      <w:r w:rsidRPr="00F5545D">
        <w:rPr>
          <w:rFonts w:ascii="Arial" w:hAnsi="Arial" w:cs="Arial"/>
          <w:sz w:val="20"/>
        </w:rPr>
        <w:t xml:space="preserve">Closest assembly </w:t>
      </w:r>
      <w:proofErr w:type="gramStart"/>
      <w:r w:rsidRPr="00F5545D">
        <w:rPr>
          <w:rFonts w:ascii="Arial" w:hAnsi="Arial" w:cs="Arial"/>
          <w:sz w:val="20"/>
        </w:rPr>
        <w:t>point;</w:t>
      </w:r>
      <w:proofErr w:type="gramEnd"/>
    </w:p>
    <w:p w14:paraId="69186043" w14:textId="77777777" w:rsidR="00F5545D" w:rsidRPr="00F5545D" w:rsidRDefault="00F5545D" w:rsidP="00F5545D">
      <w:pPr>
        <w:numPr>
          <w:ilvl w:val="0"/>
          <w:numId w:val="4"/>
        </w:numPr>
        <w:jc w:val="both"/>
        <w:rPr>
          <w:rFonts w:ascii="Arial" w:hAnsi="Arial" w:cs="Arial"/>
          <w:sz w:val="20"/>
        </w:rPr>
      </w:pPr>
      <w:r w:rsidRPr="00F5545D">
        <w:rPr>
          <w:rFonts w:ascii="Arial" w:hAnsi="Arial" w:cs="Arial"/>
          <w:sz w:val="20"/>
        </w:rPr>
        <w:t xml:space="preserve">A situation briefing – including nature of emergency and contribution </w:t>
      </w:r>
      <w:proofErr w:type="gramStart"/>
      <w:r w:rsidRPr="00F5545D">
        <w:rPr>
          <w:rFonts w:ascii="Arial" w:hAnsi="Arial" w:cs="Arial"/>
          <w:sz w:val="20"/>
        </w:rPr>
        <w:t>required;</w:t>
      </w:r>
      <w:proofErr w:type="gramEnd"/>
    </w:p>
    <w:p w14:paraId="6731E884" w14:textId="77777777" w:rsidR="00F5545D" w:rsidRPr="00F5545D" w:rsidRDefault="00F5545D" w:rsidP="00F5545D">
      <w:pPr>
        <w:numPr>
          <w:ilvl w:val="0"/>
          <w:numId w:val="4"/>
        </w:numPr>
        <w:jc w:val="both"/>
        <w:rPr>
          <w:rFonts w:ascii="Arial" w:hAnsi="Arial" w:cs="Arial"/>
          <w:sz w:val="20"/>
        </w:rPr>
      </w:pPr>
      <w:r w:rsidRPr="00F5545D">
        <w:rPr>
          <w:rFonts w:ascii="Arial" w:hAnsi="Arial" w:cs="Arial"/>
          <w:sz w:val="20"/>
        </w:rPr>
        <w:t>Communication protocols, covering:</w:t>
      </w:r>
    </w:p>
    <w:p w14:paraId="00B20BAA" w14:textId="77777777" w:rsidR="00F5545D" w:rsidRPr="00F5545D" w:rsidRDefault="00F5545D" w:rsidP="00F5545D">
      <w:pPr>
        <w:numPr>
          <w:ilvl w:val="1"/>
          <w:numId w:val="4"/>
        </w:numPr>
        <w:jc w:val="both"/>
        <w:rPr>
          <w:rFonts w:ascii="Arial" w:hAnsi="Arial" w:cs="Arial"/>
          <w:sz w:val="20"/>
        </w:rPr>
      </w:pPr>
      <w:r w:rsidRPr="00F5545D">
        <w:rPr>
          <w:rFonts w:ascii="Arial" w:hAnsi="Arial" w:cs="Arial"/>
          <w:sz w:val="20"/>
        </w:rPr>
        <w:t xml:space="preserve">All necessary contact numbers and details for emergency/disaster relief </w:t>
      </w:r>
      <w:proofErr w:type="gramStart"/>
      <w:r w:rsidRPr="00F5545D">
        <w:rPr>
          <w:rFonts w:ascii="Arial" w:hAnsi="Arial" w:cs="Arial"/>
          <w:sz w:val="20"/>
        </w:rPr>
        <w:t>personnel;</w:t>
      </w:r>
      <w:proofErr w:type="gramEnd"/>
    </w:p>
    <w:p w14:paraId="497627F6" w14:textId="77777777" w:rsidR="00F5545D" w:rsidRPr="00F5545D" w:rsidRDefault="00F5545D" w:rsidP="00F5545D">
      <w:pPr>
        <w:numPr>
          <w:ilvl w:val="1"/>
          <w:numId w:val="4"/>
        </w:numPr>
        <w:jc w:val="both"/>
        <w:rPr>
          <w:rFonts w:ascii="Arial" w:hAnsi="Arial" w:cs="Arial"/>
          <w:sz w:val="20"/>
        </w:rPr>
      </w:pPr>
      <w:r w:rsidRPr="00F5545D">
        <w:rPr>
          <w:rFonts w:ascii="Arial" w:hAnsi="Arial" w:cs="Arial"/>
          <w:sz w:val="20"/>
        </w:rPr>
        <w:t xml:space="preserve">Chain of </w:t>
      </w:r>
      <w:proofErr w:type="gramStart"/>
      <w:r w:rsidRPr="00F5545D">
        <w:rPr>
          <w:rFonts w:ascii="Arial" w:hAnsi="Arial" w:cs="Arial"/>
          <w:sz w:val="20"/>
        </w:rPr>
        <w:t>command;</w:t>
      </w:r>
      <w:proofErr w:type="gramEnd"/>
    </w:p>
    <w:p w14:paraId="54E7F2D7" w14:textId="77777777" w:rsidR="00F5545D" w:rsidRPr="00F5545D" w:rsidRDefault="00F5545D" w:rsidP="00F5545D">
      <w:pPr>
        <w:numPr>
          <w:ilvl w:val="1"/>
          <w:numId w:val="4"/>
        </w:numPr>
        <w:jc w:val="both"/>
        <w:rPr>
          <w:rFonts w:ascii="Arial" w:hAnsi="Arial" w:cs="Arial"/>
          <w:sz w:val="20"/>
        </w:rPr>
      </w:pPr>
      <w:r w:rsidRPr="00F5545D">
        <w:rPr>
          <w:rFonts w:ascii="Arial" w:hAnsi="Arial" w:cs="Arial"/>
          <w:sz w:val="20"/>
        </w:rPr>
        <w:t>Radio protocols – including:</w:t>
      </w:r>
    </w:p>
    <w:p w14:paraId="615C0BAD" w14:textId="77777777" w:rsidR="00F5545D" w:rsidRPr="00F5545D" w:rsidRDefault="00F5545D" w:rsidP="00F5545D">
      <w:pPr>
        <w:numPr>
          <w:ilvl w:val="2"/>
          <w:numId w:val="4"/>
        </w:numPr>
        <w:jc w:val="both"/>
        <w:rPr>
          <w:rFonts w:ascii="Arial" w:hAnsi="Arial" w:cs="Arial"/>
          <w:sz w:val="20"/>
        </w:rPr>
      </w:pPr>
      <w:r w:rsidRPr="00F5545D">
        <w:rPr>
          <w:rFonts w:ascii="Arial" w:hAnsi="Arial" w:cs="Arial"/>
          <w:sz w:val="20"/>
        </w:rPr>
        <w:t>When to use</w:t>
      </w:r>
    </w:p>
    <w:p w14:paraId="2338E96E" w14:textId="77777777" w:rsidR="00F5545D" w:rsidRPr="00F5545D" w:rsidRDefault="00F5545D" w:rsidP="00F5545D">
      <w:pPr>
        <w:numPr>
          <w:ilvl w:val="2"/>
          <w:numId w:val="4"/>
        </w:numPr>
        <w:jc w:val="both"/>
        <w:rPr>
          <w:rFonts w:ascii="Arial" w:hAnsi="Arial" w:cs="Arial"/>
          <w:sz w:val="20"/>
        </w:rPr>
      </w:pPr>
      <w:r w:rsidRPr="00F5545D">
        <w:rPr>
          <w:rFonts w:ascii="Arial" w:hAnsi="Arial" w:cs="Arial"/>
          <w:sz w:val="20"/>
        </w:rPr>
        <w:t>Terminology to use</w:t>
      </w:r>
    </w:p>
    <w:p w14:paraId="595FE4EB" w14:textId="77777777" w:rsidR="00F5545D" w:rsidRPr="00F5545D" w:rsidRDefault="00F5545D" w:rsidP="00F5545D">
      <w:pPr>
        <w:numPr>
          <w:ilvl w:val="1"/>
          <w:numId w:val="4"/>
        </w:numPr>
        <w:jc w:val="both"/>
        <w:rPr>
          <w:rFonts w:ascii="Arial" w:hAnsi="Arial" w:cs="Arial"/>
          <w:sz w:val="20"/>
        </w:rPr>
      </w:pPr>
      <w:r w:rsidRPr="00F5545D">
        <w:rPr>
          <w:rFonts w:ascii="Arial" w:hAnsi="Arial" w:cs="Arial"/>
          <w:sz w:val="20"/>
        </w:rPr>
        <w:t>Reporting requirements – including required regularity of situation reports; and</w:t>
      </w:r>
    </w:p>
    <w:p w14:paraId="4EDE01E8" w14:textId="77777777" w:rsidR="00F5545D" w:rsidRPr="00F5545D" w:rsidRDefault="00F5545D" w:rsidP="00F5545D">
      <w:pPr>
        <w:numPr>
          <w:ilvl w:val="0"/>
          <w:numId w:val="4"/>
        </w:numPr>
        <w:jc w:val="both"/>
        <w:rPr>
          <w:rFonts w:ascii="Arial" w:hAnsi="Arial" w:cs="Arial"/>
          <w:sz w:val="20"/>
        </w:rPr>
      </w:pPr>
      <w:r w:rsidRPr="00F5545D">
        <w:rPr>
          <w:rFonts w:ascii="Arial" w:hAnsi="Arial" w:cs="Arial"/>
          <w:sz w:val="20"/>
        </w:rPr>
        <w:t>Triage protocols to be used.</w:t>
      </w:r>
    </w:p>
    <w:p w14:paraId="35FC08C2" w14:textId="77777777" w:rsidR="00F5545D" w:rsidRPr="00F5545D" w:rsidRDefault="00F5545D" w:rsidP="00F5545D">
      <w:pPr>
        <w:jc w:val="both"/>
        <w:rPr>
          <w:rFonts w:ascii="Arial" w:hAnsi="Arial" w:cs="Arial"/>
          <w:sz w:val="20"/>
        </w:rPr>
      </w:pPr>
    </w:p>
    <w:p w14:paraId="20E8CE66" w14:textId="354624D5" w:rsidR="00F5545D" w:rsidRPr="00F5545D" w:rsidRDefault="000038CA" w:rsidP="00F5545D">
      <w:pPr>
        <w:jc w:val="both"/>
        <w:rPr>
          <w:rFonts w:ascii="Arial" w:hAnsi="Arial" w:cs="Arial"/>
          <w:sz w:val="20"/>
          <w:u w:val="single"/>
        </w:rPr>
      </w:pPr>
      <w:r w:rsidRPr="000038CA">
        <w:rPr>
          <w:rFonts w:ascii="Arial" w:hAnsi="Arial" w:cs="Arial"/>
          <w:sz w:val="20"/>
        </w:rPr>
        <w:t>3.3</w:t>
      </w:r>
      <w:r w:rsidRPr="000038CA">
        <w:rPr>
          <w:rFonts w:ascii="Arial" w:hAnsi="Arial" w:cs="Arial"/>
          <w:sz w:val="20"/>
        </w:rPr>
        <w:tab/>
      </w:r>
      <w:r w:rsidR="00F5545D" w:rsidRPr="00F5545D">
        <w:rPr>
          <w:rFonts w:ascii="Arial" w:hAnsi="Arial" w:cs="Arial"/>
          <w:sz w:val="20"/>
          <w:u w:val="single"/>
        </w:rPr>
        <w:t>Provision of equipment and other tools</w:t>
      </w:r>
    </w:p>
    <w:p w14:paraId="1E42E351" w14:textId="77777777" w:rsidR="00F5545D" w:rsidRPr="00F5545D" w:rsidRDefault="00F5545D" w:rsidP="00F5545D">
      <w:pPr>
        <w:jc w:val="both"/>
        <w:rPr>
          <w:rFonts w:ascii="Arial" w:hAnsi="Arial" w:cs="Arial"/>
          <w:sz w:val="20"/>
        </w:rPr>
      </w:pPr>
    </w:p>
    <w:p w14:paraId="0717601D" w14:textId="6509FCBE" w:rsidR="00F5545D" w:rsidRPr="00F5545D" w:rsidRDefault="00F5545D" w:rsidP="5AFE75A7">
      <w:pPr>
        <w:jc w:val="both"/>
        <w:rPr>
          <w:rFonts w:ascii="Arial" w:hAnsi="Arial" w:cs="Arial"/>
          <w:sz w:val="20"/>
        </w:rPr>
      </w:pPr>
      <w:r w:rsidRPr="5AFE75A7">
        <w:rPr>
          <w:rFonts w:ascii="Arial" w:hAnsi="Arial" w:cs="Arial"/>
          <w:sz w:val="20"/>
        </w:rPr>
        <w:t>GPs will also need to be provided with international best practice equipment appropriate for their role in the specific disaster preparation response and recovery required:</w:t>
      </w:r>
    </w:p>
    <w:p w14:paraId="26CEE92A" w14:textId="77777777" w:rsidR="00F5545D" w:rsidRPr="00F5545D" w:rsidRDefault="00F5545D" w:rsidP="00F5545D">
      <w:pPr>
        <w:jc w:val="both"/>
        <w:rPr>
          <w:rFonts w:ascii="Arial" w:hAnsi="Arial" w:cs="Arial"/>
          <w:sz w:val="20"/>
        </w:rPr>
      </w:pPr>
    </w:p>
    <w:p w14:paraId="6AD3C5AC" w14:textId="77777777" w:rsidR="00F5545D" w:rsidRPr="00F5545D" w:rsidRDefault="00F5545D" w:rsidP="00F5545D">
      <w:pPr>
        <w:numPr>
          <w:ilvl w:val="0"/>
          <w:numId w:val="5"/>
        </w:numPr>
        <w:jc w:val="both"/>
        <w:rPr>
          <w:rFonts w:ascii="Arial" w:hAnsi="Arial" w:cs="Arial"/>
          <w:sz w:val="20"/>
        </w:rPr>
      </w:pPr>
      <w:r w:rsidRPr="00F5545D">
        <w:rPr>
          <w:rFonts w:ascii="Arial" w:hAnsi="Arial" w:cs="Arial"/>
          <w:sz w:val="20"/>
        </w:rPr>
        <w:t>Personal protection equipment and any other clinical equipment (</w:t>
      </w:r>
      <w:proofErr w:type="gramStart"/>
      <w:r w:rsidRPr="00F5545D">
        <w:rPr>
          <w:rFonts w:ascii="Arial" w:hAnsi="Arial" w:cs="Arial"/>
          <w:sz w:val="20"/>
        </w:rPr>
        <w:t>e.g.</w:t>
      </w:r>
      <w:proofErr w:type="gramEnd"/>
      <w:r w:rsidRPr="00F5545D">
        <w:rPr>
          <w:rFonts w:ascii="Arial" w:hAnsi="Arial" w:cs="Arial"/>
          <w:sz w:val="20"/>
        </w:rPr>
        <w:t xml:space="preserve"> Thomas Packs), and information about where additional equipment can be accessed on-site;</w:t>
      </w:r>
    </w:p>
    <w:p w14:paraId="59535A62" w14:textId="77777777" w:rsidR="00F5545D" w:rsidRPr="00F5545D" w:rsidRDefault="00F5545D" w:rsidP="00F5545D">
      <w:pPr>
        <w:numPr>
          <w:ilvl w:val="0"/>
          <w:numId w:val="5"/>
        </w:numPr>
        <w:jc w:val="both"/>
        <w:rPr>
          <w:rFonts w:ascii="Arial" w:hAnsi="Arial" w:cs="Arial"/>
          <w:sz w:val="20"/>
        </w:rPr>
      </w:pPr>
      <w:r w:rsidRPr="00F5545D">
        <w:rPr>
          <w:rFonts w:ascii="Arial" w:hAnsi="Arial" w:cs="Arial"/>
          <w:sz w:val="20"/>
        </w:rPr>
        <w:t xml:space="preserve">Vaccines for medical staff and for general use in the population if </w:t>
      </w:r>
      <w:proofErr w:type="gramStart"/>
      <w:r w:rsidRPr="00F5545D">
        <w:rPr>
          <w:rFonts w:ascii="Arial" w:hAnsi="Arial" w:cs="Arial"/>
          <w:sz w:val="20"/>
        </w:rPr>
        <w:t>required;</w:t>
      </w:r>
      <w:proofErr w:type="gramEnd"/>
    </w:p>
    <w:p w14:paraId="6DBF4807" w14:textId="1D22BEAD" w:rsidR="00F5545D" w:rsidRPr="00F5545D" w:rsidRDefault="00F5545D" w:rsidP="1BAB9011">
      <w:pPr>
        <w:numPr>
          <w:ilvl w:val="0"/>
          <w:numId w:val="5"/>
        </w:numPr>
        <w:jc w:val="both"/>
        <w:rPr>
          <w:rFonts w:ascii="Arial" w:hAnsi="Arial" w:cs="Arial"/>
          <w:sz w:val="20"/>
        </w:rPr>
      </w:pPr>
      <w:r w:rsidRPr="1BAB9011">
        <w:rPr>
          <w:rFonts w:ascii="Arial" w:hAnsi="Arial" w:cs="Arial"/>
          <w:sz w:val="20"/>
        </w:rPr>
        <w:t>Standard issue Doctor First Aid pack, a supply of P2/N95 facemasks, gloves, and other safety equipment. Safety and protection equipment should be marked “Doctor” to facilitate quick and easy identification; and</w:t>
      </w:r>
    </w:p>
    <w:p w14:paraId="5E3B19FF" w14:textId="77777777" w:rsidR="00F5545D" w:rsidRPr="00F5545D" w:rsidRDefault="00F5545D" w:rsidP="00F5545D">
      <w:pPr>
        <w:numPr>
          <w:ilvl w:val="0"/>
          <w:numId w:val="5"/>
        </w:numPr>
        <w:jc w:val="both"/>
        <w:rPr>
          <w:rFonts w:ascii="Arial" w:hAnsi="Arial" w:cs="Arial"/>
          <w:sz w:val="20"/>
        </w:rPr>
      </w:pPr>
      <w:r w:rsidRPr="00F5545D">
        <w:rPr>
          <w:rFonts w:ascii="Arial" w:hAnsi="Arial" w:cs="Arial"/>
          <w:sz w:val="20"/>
        </w:rPr>
        <w:t>All doctors working as part of a medical or disaster response should be issued with readily identifiable jackets marked “Doctor”.</w:t>
      </w:r>
    </w:p>
    <w:p w14:paraId="1C612361" w14:textId="77777777" w:rsidR="00F5545D" w:rsidRPr="00F5545D" w:rsidRDefault="00F5545D" w:rsidP="00F5545D">
      <w:pPr>
        <w:jc w:val="both"/>
        <w:rPr>
          <w:rFonts w:ascii="Arial" w:hAnsi="Arial" w:cs="Arial"/>
          <w:sz w:val="20"/>
        </w:rPr>
      </w:pPr>
    </w:p>
    <w:p w14:paraId="55970E9D" w14:textId="7D6D8C89" w:rsidR="00F5545D" w:rsidRPr="00F5545D" w:rsidRDefault="000038CA" w:rsidP="00F5545D">
      <w:pPr>
        <w:jc w:val="both"/>
        <w:rPr>
          <w:rFonts w:ascii="Arial" w:hAnsi="Arial" w:cs="Arial"/>
          <w:sz w:val="20"/>
          <w:u w:val="single"/>
        </w:rPr>
      </w:pPr>
      <w:r w:rsidRPr="000038CA">
        <w:rPr>
          <w:rFonts w:ascii="Arial" w:hAnsi="Arial" w:cs="Arial"/>
          <w:sz w:val="20"/>
        </w:rPr>
        <w:t>3.4</w:t>
      </w:r>
      <w:r w:rsidRPr="000038CA">
        <w:rPr>
          <w:rFonts w:ascii="Arial" w:hAnsi="Arial" w:cs="Arial"/>
          <w:sz w:val="20"/>
        </w:rPr>
        <w:tab/>
      </w:r>
      <w:r w:rsidR="00F5545D" w:rsidRPr="00F5545D">
        <w:rPr>
          <w:rFonts w:ascii="Arial" w:hAnsi="Arial" w:cs="Arial"/>
          <w:sz w:val="20"/>
          <w:u w:val="single"/>
        </w:rPr>
        <w:t>Other jurisdictional planning factors</w:t>
      </w:r>
    </w:p>
    <w:p w14:paraId="1F1876BA" w14:textId="77777777" w:rsidR="00F5545D" w:rsidRPr="00F5545D" w:rsidRDefault="00F5545D" w:rsidP="00F5545D">
      <w:pPr>
        <w:jc w:val="both"/>
        <w:rPr>
          <w:rFonts w:ascii="Arial" w:hAnsi="Arial" w:cs="Arial"/>
          <w:sz w:val="20"/>
        </w:rPr>
      </w:pPr>
    </w:p>
    <w:p w14:paraId="088F814F" w14:textId="53DEBB58" w:rsidR="00F5545D" w:rsidRPr="00F5545D" w:rsidRDefault="00F5545D" w:rsidP="5AFE75A7">
      <w:pPr>
        <w:jc w:val="both"/>
        <w:rPr>
          <w:rFonts w:ascii="Arial" w:hAnsi="Arial" w:cs="Arial"/>
          <w:sz w:val="20"/>
        </w:rPr>
      </w:pPr>
      <w:r w:rsidRPr="5AFE75A7">
        <w:rPr>
          <w:rFonts w:ascii="Arial" w:hAnsi="Arial" w:cs="Arial"/>
          <w:sz w:val="20"/>
        </w:rPr>
        <w:t>Other factors to include in jurisdictional planning include but are not limited to:</w:t>
      </w:r>
    </w:p>
    <w:p w14:paraId="04606EF9" w14:textId="77777777" w:rsidR="00F5545D" w:rsidRPr="00F5545D" w:rsidRDefault="00F5545D" w:rsidP="00F5545D">
      <w:pPr>
        <w:jc w:val="both"/>
        <w:rPr>
          <w:rFonts w:ascii="Arial" w:hAnsi="Arial" w:cs="Arial"/>
          <w:sz w:val="20"/>
        </w:rPr>
      </w:pPr>
    </w:p>
    <w:p w14:paraId="028DED93" w14:textId="77777777" w:rsidR="00F5545D" w:rsidRPr="00F5545D" w:rsidRDefault="00F5545D" w:rsidP="00F5545D">
      <w:pPr>
        <w:numPr>
          <w:ilvl w:val="0"/>
          <w:numId w:val="5"/>
        </w:numPr>
        <w:jc w:val="both"/>
        <w:rPr>
          <w:rFonts w:ascii="Arial" w:hAnsi="Arial" w:cs="Arial"/>
          <w:sz w:val="20"/>
        </w:rPr>
      </w:pPr>
      <w:r w:rsidRPr="00F5545D">
        <w:rPr>
          <w:rFonts w:ascii="Arial" w:hAnsi="Arial" w:cs="Arial"/>
          <w:sz w:val="20"/>
        </w:rPr>
        <w:t xml:space="preserve">GPs to be included in simulated emergency events and any other additional training to ensure effectiveness as part of any in-field medical response team provided by the </w:t>
      </w:r>
      <w:proofErr w:type="gramStart"/>
      <w:r w:rsidRPr="00F5545D">
        <w:rPr>
          <w:rFonts w:ascii="Arial" w:hAnsi="Arial" w:cs="Arial"/>
          <w:sz w:val="20"/>
        </w:rPr>
        <w:t>jurisdiction;</w:t>
      </w:r>
      <w:proofErr w:type="gramEnd"/>
    </w:p>
    <w:p w14:paraId="19DFCCD6" w14:textId="77777777" w:rsidR="00F5545D" w:rsidRPr="00F5545D" w:rsidRDefault="00F5545D" w:rsidP="00F5545D">
      <w:pPr>
        <w:numPr>
          <w:ilvl w:val="0"/>
          <w:numId w:val="5"/>
        </w:numPr>
        <w:jc w:val="both"/>
        <w:rPr>
          <w:rFonts w:ascii="Arial" w:hAnsi="Arial" w:cs="Arial"/>
          <w:sz w:val="20"/>
        </w:rPr>
      </w:pPr>
      <w:r w:rsidRPr="00F5545D">
        <w:rPr>
          <w:rFonts w:ascii="Arial" w:hAnsi="Arial" w:cs="Arial"/>
          <w:sz w:val="20"/>
        </w:rPr>
        <w:t xml:space="preserve">Appropriate workers’ compensation </w:t>
      </w:r>
      <w:proofErr w:type="gramStart"/>
      <w:r w:rsidRPr="00F5545D">
        <w:rPr>
          <w:rFonts w:ascii="Arial" w:hAnsi="Arial" w:cs="Arial"/>
          <w:sz w:val="20"/>
        </w:rPr>
        <w:t>and  death</w:t>
      </w:r>
      <w:proofErr w:type="gramEnd"/>
      <w:r w:rsidRPr="00F5545D">
        <w:rPr>
          <w:rFonts w:ascii="Arial" w:hAnsi="Arial" w:cs="Arial"/>
          <w:sz w:val="20"/>
        </w:rPr>
        <w:t>/disability insurance arrangements to support GPs involved in natural disaster response activities;</w:t>
      </w:r>
    </w:p>
    <w:p w14:paraId="39C1FC92" w14:textId="107A0DBF" w:rsidR="00F5545D" w:rsidRPr="00F5545D" w:rsidRDefault="00F5545D" w:rsidP="5AFE75A7">
      <w:pPr>
        <w:numPr>
          <w:ilvl w:val="0"/>
          <w:numId w:val="5"/>
        </w:numPr>
        <w:jc w:val="both"/>
        <w:rPr>
          <w:rFonts w:ascii="Arial" w:hAnsi="Arial" w:cs="Arial"/>
          <w:sz w:val="20"/>
        </w:rPr>
      </w:pPr>
      <w:r w:rsidRPr="5AFE75A7">
        <w:rPr>
          <w:rFonts w:ascii="Arial" w:hAnsi="Arial" w:cs="Arial"/>
          <w:sz w:val="20"/>
        </w:rPr>
        <w:t>Clinician specific communication protocols to ensure GPs are provided with the latest up-to-date information about policies, government health messages, and government assistance measures. This is particularly important when messages are given to the community to consult their GP about the health impacts of a natural or other type of disaster; and</w:t>
      </w:r>
    </w:p>
    <w:p w14:paraId="62033AD0" w14:textId="77777777" w:rsidR="00F5545D" w:rsidRPr="00F5545D" w:rsidRDefault="00F5545D" w:rsidP="00F5545D">
      <w:pPr>
        <w:numPr>
          <w:ilvl w:val="0"/>
          <w:numId w:val="5"/>
        </w:numPr>
        <w:jc w:val="both"/>
        <w:rPr>
          <w:rFonts w:ascii="Arial" w:hAnsi="Arial" w:cs="Arial"/>
          <w:sz w:val="20"/>
        </w:rPr>
      </w:pPr>
      <w:r w:rsidRPr="00F5545D">
        <w:rPr>
          <w:rFonts w:ascii="Arial" w:hAnsi="Arial" w:cs="Arial"/>
          <w:sz w:val="20"/>
        </w:rPr>
        <w:t>Collecting GP feedback following an emergency or disaster response as a critical feedback loop for future planning.</w:t>
      </w:r>
    </w:p>
    <w:p w14:paraId="30F42C3C" w14:textId="77777777" w:rsidR="00F5545D" w:rsidRPr="00F5545D" w:rsidRDefault="00F5545D" w:rsidP="00F5545D">
      <w:pPr>
        <w:jc w:val="both"/>
        <w:rPr>
          <w:rFonts w:ascii="Arial" w:hAnsi="Arial" w:cs="Arial"/>
          <w:sz w:val="20"/>
        </w:rPr>
      </w:pPr>
    </w:p>
    <w:p w14:paraId="2251B824" w14:textId="683584A1" w:rsidR="00F5545D" w:rsidRPr="00F5545D" w:rsidRDefault="000038CA" w:rsidP="00F5545D">
      <w:pPr>
        <w:jc w:val="both"/>
        <w:rPr>
          <w:rFonts w:ascii="Arial" w:hAnsi="Arial" w:cs="Arial"/>
          <w:sz w:val="20"/>
          <w:u w:val="single"/>
        </w:rPr>
      </w:pPr>
      <w:r w:rsidRPr="000038CA">
        <w:rPr>
          <w:rFonts w:ascii="Arial" w:hAnsi="Arial" w:cs="Arial"/>
          <w:sz w:val="20"/>
        </w:rPr>
        <w:t>3.5</w:t>
      </w:r>
      <w:r w:rsidRPr="000038CA">
        <w:rPr>
          <w:rFonts w:ascii="Arial" w:hAnsi="Arial" w:cs="Arial"/>
          <w:sz w:val="20"/>
        </w:rPr>
        <w:tab/>
      </w:r>
      <w:r w:rsidR="00F5545D" w:rsidRPr="00F5545D">
        <w:rPr>
          <w:rFonts w:ascii="Arial" w:hAnsi="Arial" w:cs="Arial"/>
          <w:sz w:val="20"/>
          <w:u w:val="single"/>
        </w:rPr>
        <w:t>Standard protocols for use in an emergency/disaster situation</w:t>
      </w:r>
    </w:p>
    <w:p w14:paraId="3411F55A" w14:textId="77777777" w:rsidR="00F5545D" w:rsidRPr="00F5545D" w:rsidRDefault="00F5545D" w:rsidP="00F5545D">
      <w:pPr>
        <w:jc w:val="both"/>
        <w:rPr>
          <w:rFonts w:ascii="Arial" w:hAnsi="Arial" w:cs="Arial"/>
          <w:sz w:val="20"/>
        </w:rPr>
      </w:pPr>
    </w:p>
    <w:p w14:paraId="2FFE40FB" w14:textId="27B27B5E" w:rsidR="00F5545D" w:rsidRPr="00F5545D" w:rsidRDefault="00F5545D" w:rsidP="5AFE75A7">
      <w:pPr>
        <w:jc w:val="both"/>
        <w:rPr>
          <w:rFonts w:ascii="Arial" w:hAnsi="Arial" w:cs="Arial"/>
          <w:sz w:val="20"/>
        </w:rPr>
      </w:pPr>
      <w:r w:rsidRPr="5AFE75A7">
        <w:rPr>
          <w:rFonts w:ascii="Arial" w:hAnsi="Arial" w:cs="Arial"/>
          <w:sz w:val="20"/>
        </w:rPr>
        <w:lastRenderedPageBreak/>
        <w:t>The Commonwealth Government should retain standard protocols to use in an emergency or disaster situation including but not limited to:</w:t>
      </w:r>
    </w:p>
    <w:p w14:paraId="480FBB5E" w14:textId="77777777" w:rsidR="00F5545D" w:rsidRPr="00F5545D" w:rsidRDefault="00F5545D" w:rsidP="00F5545D">
      <w:pPr>
        <w:jc w:val="both"/>
        <w:rPr>
          <w:rFonts w:ascii="Arial" w:hAnsi="Arial" w:cs="Arial"/>
          <w:sz w:val="20"/>
        </w:rPr>
      </w:pPr>
    </w:p>
    <w:p w14:paraId="1E93EB5A" w14:textId="77777777" w:rsidR="00F5545D" w:rsidRPr="00F5545D" w:rsidRDefault="00F5545D" w:rsidP="00F5545D">
      <w:pPr>
        <w:numPr>
          <w:ilvl w:val="0"/>
          <w:numId w:val="6"/>
        </w:numPr>
        <w:jc w:val="both"/>
        <w:rPr>
          <w:rFonts w:ascii="Arial" w:hAnsi="Arial" w:cs="Arial"/>
          <w:sz w:val="20"/>
        </w:rPr>
      </w:pPr>
      <w:r w:rsidRPr="00F5545D">
        <w:rPr>
          <w:rFonts w:ascii="Arial" w:hAnsi="Arial" w:cs="Arial"/>
          <w:sz w:val="20"/>
        </w:rPr>
        <w:t xml:space="preserve">Flexible use of Medicare Provider </w:t>
      </w:r>
      <w:proofErr w:type="gramStart"/>
      <w:r w:rsidRPr="00F5545D">
        <w:rPr>
          <w:rFonts w:ascii="Arial" w:hAnsi="Arial" w:cs="Arial"/>
          <w:sz w:val="20"/>
        </w:rPr>
        <w:t>Numbers;</w:t>
      </w:r>
      <w:proofErr w:type="gramEnd"/>
    </w:p>
    <w:p w14:paraId="2BB8AC3F" w14:textId="77777777" w:rsidR="00F5545D" w:rsidRPr="00F5545D" w:rsidRDefault="00F5545D" w:rsidP="00F5545D">
      <w:pPr>
        <w:numPr>
          <w:ilvl w:val="0"/>
          <w:numId w:val="6"/>
        </w:numPr>
        <w:jc w:val="both"/>
        <w:rPr>
          <w:rFonts w:ascii="Arial" w:hAnsi="Arial" w:cs="Arial"/>
          <w:sz w:val="20"/>
        </w:rPr>
      </w:pPr>
      <w:r w:rsidRPr="00F5545D">
        <w:rPr>
          <w:rFonts w:ascii="Arial" w:hAnsi="Arial" w:cs="Arial"/>
          <w:sz w:val="20"/>
        </w:rPr>
        <w:t xml:space="preserve">Access to Medicare Benefits while practising in temporary </w:t>
      </w:r>
      <w:proofErr w:type="gramStart"/>
      <w:r w:rsidRPr="00F5545D">
        <w:rPr>
          <w:rFonts w:ascii="Arial" w:hAnsi="Arial" w:cs="Arial"/>
          <w:sz w:val="20"/>
        </w:rPr>
        <w:t>premises;</w:t>
      </w:r>
      <w:proofErr w:type="gramEnd"/>
    </w:p>
    <w:p w14:paraId="66B4AA7A" w14:textId="77777777" w:rsidR="00F5545D" w:rsidRPr="00F5545D" w:rsidRDefault="00F5545D" w:rsidP="00F5545D">
      <w:pPr>
        <w:numPr>
          <w:ilvl w:val="0"/>
          <w:numId w:val="6"/>
        </w:numPr>
        <w:jc w:val="both"/>
        <w:rPr>
          <w:rFonts w:ascii="Arial" w:hAnsi="Arial" w:cs="Arial"/>
          <w:sz w:val="20"/>
        </w:rPr>
      </w:pPr>
      <w:r w:rsidRPr="00F5545D">
        <w:rPr>
          <w:rFonts w:ascii="Arial" w:hAnsi="Arial" w:cs="Arial"/>
          <w:sz w:val="20"/>
        </w:rPr>
        <w:t xml:space="preserve">Access to services for people who have lost Medicare/DVA </w:t>
      </w:r>
      <w:proofErr w:type="gramStart"/>
      <w:r w:rsidRPr="00F5545D">
        <w:rPr>
          <w:rFonts w:ascii="Arial" w:hAnsi="Arial" w:cs="Arial"/>
          <w:sz w:val="20"/>
        </w:rPr>
        <w:t>cards;</w:t>
      </w:r>
      <w:proofErr w:type="gramEnd"/>
    </w:p>
    <w:p w14:paraId="3BFCF000" w14:textId="77777777" w:rsidR="00F5545D" w:rsidRPr="00F5545D" w:rsidRDefault="00F5545D" w:rsidP="00F5545D">
      <w:pPr>
        <w:numPr>
          <w:ilvl w:val="0"/>
          <w:numId w:val="6"/>
        </w:numPr>
        <w:jc w:val="both"/>
        <w:rPr>
          <w:rFonts w:ascii="Arial" w:hAnsi="Arial" w:cs="Arial"/>
          <w:sz w:val="20"/>
        </w:rPr>
      </w:pPr>
      <w:r w:rsidRPr="00F5545D">
        <w:rPr>
          <w:rFonts w:ascii="Arial" w:hAnsi="Arial" w:cs="Arial"/>
          <w:sz w:val="20"/>
        </w:rPr>
        <w:t>Flexibility in claiming some of the MBS mental health items; and</w:t>
      </w:r>
    </w:p>
    <w:p w14:paraId="718FF621" w14:textId="77777777" w:rsidR="00F5545D" w:rsidRPr="00F5545D" w:rsidRDefault="00F5545D" w:rsidP="00F5545D">
      <w:pPr>
        <w:numPr>
          <w:ilvl w:val="0"/>
          <w:numId w:val="6"/>
        </w:numPr>
        <w:jc w:val="both"/>
        <w:rPr>
          <w:rFonts w:ascii="Arial" w:hAnsi="Arial" w:cs="Arial"/>
          <w:sz w:val="20"/>
        </w:rPr>
      </w:pPr>
      <w:r w:rsidRPr="00F5545D">
        <w:rPr>
          <w:rFonts w:ascii="Arial" w:hAnsi="Arial" w:cs="Arial"/>
          <w:sz w:val="20"/>
        </w:rPr>
        <w:t>Providing essential medicines and filling scripts outside the standard PBS rules.</w:t>
      </w:r>
    </w:p>
    <w:p w14:paraId="29C64490" w14:textId="77777777" w:rsidR="0036619E" w:rsidRDefault="0036619E">
      <w:pPr>
        <w:jc w:val="both"/>
        <w:rPr>
          <w:rFonts w:ascii="Arial" w:hAnsi="Arial" w:cs="Arial"/>
          <w:b/>
          <w:bCs/>
          <w:sz w:val="20"/>
        </w:rPr>
      </w:pPr>
    </w:p>
    <w:p w14:paraId="4FF06417" w14:textId="77777777" w:rsidR="000038CA" w:rsidRPr="000038CA" w:rsidRDefault="000038CA" w:rsidP="000038CA">
      <w:pPr>
        <w:numPr>
          <w:ilvl w:val="0"/>
          <w:numId w:val="7"/>
        </w:numPr>
        <w:rPr>
          <w:rFonts w:ascii="Arial" w:hAnsi="Arial" w:cs="Arial"/>
          <w:b/>
          <w:bCs/>
          <w:sz w:val="20"/>
        </w:rPr>
      </w:pPr>
      <w:r w:rsidRPr="000038CA">
        <w:rPr>
          <w:rFonts w:ascii="Arial" w:hAnsi="Arial" w:cs="Arial"/>
          <w:b/>
          <w:bCs/>
          <w:sz w:val="20"/>
        </w:rPr>
        <w:t>Name of Committee having principal carriage of the Position Statement</w:t>
      </w:r>
    </w:p>
    <w:p w14:paraId="3640FFD6" w14:textId="118D66E6" w:rsidR="0036619E" w:rsidRDefault="0036619E" w:rsidP="000038CA">
      <w:pPr>
        <w:jc w:val="both"/>
        <w:rPr>
          <w:rFonts w:ascii="Arial" w:hAnsi="Arial" w:cs="Arial"/>
          <w:b/>
          <w:bCs/>
          <w:sz w:val="20"/>
        </w:rPr>
      </w:pPr>
    </w:p>
    <w:p w14:paraId="76A38CDB" w14:textId="77777777" w:rsidR="0036619E" w:rsidRDefault="0036619E">
      <w:pPr>
        <w:jc w:val="both"/>
        <w:rPr>
          <w:rFonts w:ascii="Arial" w:hAnsi="Arial" w:cs="Arial"/>
          <w:sz w:val="20"/>
        </w:rPr>
      </w:pPr>
    </w:p>
    <w:p w14:paraId="1E28CA05" w14:textId="491903F2" w:rsidR="0036619E" w:rsidRPr="000038CA" w:rsidRDefault="000038CA" w:rsidP="000038CA">
      <w:pPr>
        <w:ind w:left="360" w:hanging="360"/>
        <w:jc w:val="both"/>
        <w:rPr>
          <w:rFonts w:ascii="Arial" w:hAnsi="Arial" w:cs="Arial"/>
          <w:sz w:val="20"/>
        </w:rPr>
      </w:pPr>
      <w:r>
        <w:rPr>
          <w:rFonts w:ascii="Arial" w:hAnsi="Arial" w:cs="Arial"/>
          <w:sz w:val="20"/>
        </w:rPr>
        <w:t>4.1</w:t>
      </w:r>
      <w:r>
        <w:rPr>
          <w:rFonts w:ascii="Arial" w:hAnsi="Arial" w:cs="Arial"/>
          <w:sz w:val="20"/>
        </w:rPr>
        <w:tab/>
      </w:r>
      <w:r w:rsidRPr="000038CA">
        <w:rPr>
          <w:rFonts w:ascii="Arial" w:hAnsi="Arial" w:cs="Arial"/>
          <w:sz w:val="20"/>
        </w:rPr>
        <w:t>The AMA Council of General Practice (AMACGP) has principal carriage for this Position Statement.</w:t>
      </w:r>
    </w:p>
    <w:p w14:paraId="1DDAD60B" w14:textId="77777777" w:rsidR="0036619E" w:rsidRDefault="0036619E">
      <w:pPr>
        <w:jc w:val="both"/>
        <w:rPr>
          <w:rFonts w:ascii="Arial" w:hAnsi="Arial" w:cs="Arial"/>
          <w:sz w:val="20"/>
        </w:rPr>
      </w:pPr>
    </w:p>
    <w:p w14:paraId="6F522E9F" w14:textId="77777777" w:rsidR="0036619E" w:rsidRDefault="0036619E">
      <w:pPr>
        <w:jc w:val="both"/>
        <w:rPr>
          <w:rFonts w:ascii="Arial" w:hAnsi="Arial" w:cs="Arial"/>
          <w:sz w:val="20"/>
        </w:rPr>
      </w:pPr>
    </w:p>
    <w:p w14:paraId="3ED386AB" w14:textId="77777777" w:rsidR="0036619E" w:rsidRDefault="00D9584B">
      <w:pPr>
        <w:jc w:val="both"/>
        <w:rPr>
          <w:rFonts w:ascii="Arial" w:hAnsi="Arial" w:cs="Arial"/>
          <w:b/>
          <w:bCs/>
          <w:sz w:val="20"/>
        </w:rPr>
      </w:pPr>
      <w:r>
        <w:rPr>
          <w:rFonts w:ascii="Arial" w:hAnsi="Arial" w:cs="Arial"/>
          <w:b/>
          <w:bCs/>
          <w:sz w:val="20"/>
        </w:rPr>
        <w:t>See also:</w:t>
      </w:r>
    </w:p>
    <w:p w14:paraId="53E2202B" w14:textId="77777777" w:rsidR="0036619E" w:rsidRDefault="0036619E">
      <w:pPr>
        <w:rPr>
          <w:rFonts w:ascii="Arial" w:hAnsi="Arial" w:cs="Arial"/>
          <w:sz w:val="20"/>
        </w:rPr>
      </w:pPr>
    </w:p>
    <w:p w14:paraId="24F8E77E" w14:textId="1A50B481" w:rsidR="0036619E" w:rsidRDefault="001D451E" w:rsidP="0F5AE28A">
      <w:pPr>
        <w:rPr>
          <w:rFonts w:ascii="Arial" w:hAnsi="Arial" w:cs="Arial"/>
          <w:i/>
          <w:iCs/>
          <w:sz w:val="20"/>
        </w:rPr>
      </w:pPr>
      <w:hyperlink r:id="rId11">
        <w:r w:rsidR="00D9584B" w:rsidRPr="0F5AE28A">
          <w:rPr>
            <w:rStyle w:val="Hyperlink"/>
            <w:rFonts w:ascii="Arial" w:hAnsi="Arial" w:cs="Arial"/>
            <w:i/>
            <w:iCs/>
            <w:sz w:val="20"/>
          </w:rPr>
          <w:t>AMA Position Statement on Ethical Considerations for Medical Practitioners in Disaster Response in Australia 2022</w:t>
        </w:r>
      </w:hyperlink>
    </w:p>
    <w:p w14:paraId="56A576C1" w14:textId="6BCCC44A" w:rsidR="0036619E" w:rsidRDefault="0036619E" w:rsidP="0F5AE28A">
      <w:pPr>
        <w:spacing w:line="240" w:lineRule="atLeast"/>
        <w:rPr>
          <w:rFonts w:ascii="Arial" w:hAnsi="Arial" w:cs="Arial"/>
          <w:i/>
          <w:iCs/>
          <w:snapToGrid w:val="0"/>
          <w:sz w:val="20"/>
        </w:rPr>
      </w:pPr>
    </w:p>
    <w:p w14:paraId="28BE55E4" w14:textId="77777777" w:rsidR="0036619E" w:rsidRDefault="0036619E">
      <w:pPr>
        <w:tabs>
          <w:tab w:val="left" w:pos="567"/>
        </w:tabs>
        <w:spacing w:line="240" w:lineRule="atLeast"/>
        <w:rPr>
          <w:rFonts w:ascii="Arial" w:hAnsi="Arial"/>
          <w:snapToGrid w:val="0"/>
          <w:sz w:val="20"/>
        </w:rPr>
      </w:pPr>
    </w:p>
    <w:p w14:paraId="28F1CA52" w14:textId="673918F6" w:rsidR="0036619E" w:rsidRDefault="000038CA">
      <w:pPr>
        <w:tabs>
          <w:tab w:val="left" w:pos="567"/>
        </w:tabs>
        <w:spacing w:line="240" w:lineRule="atLeast"/>
        <w:rPr>
          <w:rFonts w:ascii="Arial" w:hAnsi="Arial"/>
          <w:snapToGrid w:val="0"/>
          <w:sz w:val="20"/>
        </w:rPr>
      </w:pPr>
      <w:r>
        <w:rPr>
          <w:rFonts w:ascii="Arial" w:hAnsi="Arial"/>
          <w:noProof/>
          <w:sz w:val="20"/>
        </w:rPr>
        <mc:AlternateContent>
          <mc:Choice Requires="wps">
            <w:drawing>
              <wp:anchor distT="0" distB="0" distL="114300" distR="114300" simplePos="0" relativeHeight="251657728" behindDoc="0" locked="0" layoutInCell="0" allowOverlap="1" wp14:anchorId="00C58AA0" wp14:editId="119DA113">
                <wp:simplePos x="0" y="0"/>
                <wp:positionH relativeFrom="column">
                  <wp:posOffset>0</wp:posOffset>
                </wp:positionH>
                <wp:positionV relativeFrom="paragraph">
                  <wp:posOffset>156845</wp:posOffset>
                </wp:positionV>
                <wp:extent cx="5760720" cy="4991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99110"/>
                        </a:xfrm>
                        <a:prstGeom prst="rect">
                          <a:avLst/>
                        </a:prstGeom>
                        <a:solidFill>
                          <a:srgbClr val="FFFFFF"/>
                        </a:solidFill>
                        <a:ln w="28575">
                          <a:solidFill>
                            <a:srgbClr val="000000"/>
                          </a:solidFill>
                          <a:miter lim="800000"/>
                          <a:headEnd/>
                          <a:tailEnd/>
                        </a:ln>
                      </wps:spPr>
                      <wps:txbx>
                        <w:txbxContent>
                          <w:p w14:paraId="104BF8E7" w14:textId="77777777" w:rsidR="0036619E" w:rsidRDefault="0036619E">
                            <w:pPr>
                              <w:rPr>
                                <w:rFonts w:ascii="Arial" w:hAnsi="Arial"/>
                                <w:snapToGrid w:val="0"/>
                                <w:color w:val="0000FF"/>
                                <w:sz w:val="12"/>
                              </w:rPr>
                            </w:pPr>
                          </w:p>
                          <w:p w14:paraId="4D98827F" w14:textId="77777777" w:rsidR="0036619E" w:rsidRDefault="00D9584B">
                            <w:pPr>
                              <w:pStyle w:val="BodyText"/>
                              <w:rPr>
                                <w:sz w:val="16"/>
                              </w:rPr>
                            </w:pPr>
                            <w:r>
                              <w:rPr>
                                <w:sz w:val="16"/>
                              </w:rPr>
                              <w:t>Reproduction and distribution of AMA position statements is permitted provided the AMA is acknowledged and that the position statement is faithfully reproduced noting the year at the top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00C58AA0">
                <v:stroke joinstyle="miter"/>
                <v:path gradientshapeok="t" o:connecttype="rect"/>
              </v:shapetype>
              <v:shape id="Text Box 2" style="position:absolute;margin-left:0;margin-top:12.35pt;width:453.6pt;height:3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">
                <v:textbox>
                  <w:txbxContent>
                    <w:p w:rsidR="0036619E" w:rsidRDefault="0036619E" w14:paraId="104BF8E7" w14:textId="77777777">
                      <w:pPr>
                        <w:rPr>
                          <w:rFonts w:ascii="Arial" w:hAnsi="Arial"/>
                          <w:snapToGrid w:val="0"/>
                          <w:color w:val="0000FF"/>
                          <w:sz w:val="12"/>
                        </w:rPr>
                      </w:pPr>
                    </w:p>
                    <w:p w:rsidR="0036619E" w:rsidRDefault="00D9584B" w14:paraId="4D98827F" w14:textId="77777777">
                      <w:pPr>
                        <w:pStyle w:val="BodyText"/>
                        <w:rPr>
                          <w:sz w:val="16"/>
                        </w:rPr>
                      </w:pPr>
                      <w:r>
                        <w:rPr>
                          <w:sz w:val="16"/>
                        </w:rPr>
                        <w:t>Reproduction and distribution of AMA position statements is permitted provided the AMA is acknowledged and that the position statement is faithfully reproduced noting the year at the top of the document.</w:t>
                      </w:r>
                    </w:p>
                  </w:txbxContent>
                </v:textbox>
              </v:shape>
            </w:pict>
          </mc:Fallback>
        </mc:AlternateContent>
      </w:r>
    </w:p>
    <w:p w14:paraId="5EEB71FF" w14:textId="77777777" w:rsidR="0036619E" w:rsidRDefault="0036619E">
      <w:pPr>
        <w:tabs>
          <w:tab w:val="left" w:pos="567"/>
        </w:tabs>
        <w:spacing w:line="240" w:lineRule="atLeast"/>
        <w:rPr>
          <w:rFonts w:ascii="Arial" w:hAnsi="Arial"/>
          <w:snapToGrid w:val="0"/>
          <w:sz w:val="20"/>
        </w:rPr>
      </w:pPr>
    </w:p>
    <w:p w14:paraId="0981250C" w14:textId="77777777" w:rsidR="0036619E" w:rsidRDefault="0036619E">
      <w:pPr>
        <w:tabs>
          <w:tab w:val="left" w:pos="567"/>
        </w:tabs>
        <w:spacing w:line="240" w:lineRule="atLeast"/>
        <w:rPr>
          <w:rFonts w:ascii="Arial" w:hAnsi="Arial"/>
          <w:snapToGrid w:val="0"/>
          <w:sz w:val="20"/>
        </w:rPr>
      </w:pPr>
    </w:p>
    <w:p w14:paraId="3A76F5EE" w14:textId="77777777" w:rsidR="0036619E" w:rsidRDefault="0036619E">
      <w:pPr>
        <w:tabs>
          <w:tab w:val="left" w:pos="567"/>
        </w:tabs>
        <w:spacing w:line="240" w:lineRule="atLeast"/>
        <w:rPr>
          <w:rFonts w:ascii="Arial" w:hAnsi="Arial"/>
          <w:snapToGrid w:val="0"/>
          <w:sz w:val="20"/>
        </w:rPr>
      </w:pPr>
    </w:p>
    <w:sectPr w:rsidR="0036619E">
      <w:headerReference w:type="default" r:id="rId12"/>
      <w:footerReference w:type="default" r:id="rId13"/>
      <w:headerReference w:type="first" r:id="rId14"/>
      <w:footerReference w:type="first" r:id="rId15"/>
      <w:type w:val="continuous"/>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C0EB" w14:textId="77777777" w:rsidR="002C1A33" w:rsidRDefault="002C1A33">
      <w:r>
        <w:separator/>
      </w:r>
    </w:p>
  </w:endnote>
  <w:endnote w:type="continuationSeparator" w:id="0">
    <w:p w14:paraId="21408CB9" w14:textId="77777777" w:rsidR="002C1A33" w:rsidRDefault="002C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546C" w14:textId="77777777" w:rsidR="0036619E" w:rsidRDefault="00D9584B">
    <w:pPr>
      <w:pStyle w:val="Footer"/>
      <w:pBdr>
        <w:top w:val="single" w:sz="18" w:space="1" w:color="auto"/>
      </w:pBdr>
      <w:tabs>
        <w:tab w:val="clear" w:pos="8306"/>
        <w:tab w:val="right" w:pos="8931"/>
      </w:tabs>
      <w:rPr>
        <w:rFonts w:ascii="Arial" w:hAnsi="Arial"/>
        <w:color w:val="0000FF"/>
        <w:sz w:val="20"/>
      </w:rPr>
    </w:pPr>
    <w:r>
      <w:rPr>
        <w:rFonts w:ascii="Arial" w:hAnsi="Arial"/>
        <w:color w:val="0000FF"/>
        <w:sz w:val="16"/>
      </w:rPr>
      <w:t xml:space="preserve">Australian Medical Association Limited ABN 37 008 426 793 </w:t>
    </w:r>
    <w:r>
      <w:rPr>
        <w:rFonts w:ascii="Arial" w:hAnsi="Arial"/>
        <w:color w:val="0000FF"/>
        <w:sz w:val="16"/>
      </w:rPr>
      <w:tab/>
    </w:r>
    <w:r>
      <w:rPr>
        <w:rStyle w:val="PageNumber"/>
        <w:rFonts w:ascii="Arial" w:hAnsi="Arial"/>
        <w:color w:val="0000FF"/>
        <w:sz w:val="20"/>
      </w:rPr>
      <w:fldChar w:fldCharType="begin"/>
    </w:r>
    <w:r>
      <w:rPr>
        <w:rStyle w:val="PageNumber"/>
        <w:rFonts w:ascii="Arial" w:hAnsi="Arial"/>
        <w:color w:val="0000FF"/>
        <w:sz w:val="20"/>
      </w:rPr>
      <w:instrText xml:space="preserve"> PAGE </w:instrText>
    </w:r>
    <w:r>
      <w:rPr>
        <w:rStyle w:val="PageNumber"/>
        <w:rFonts w:ascii="Arial" w:hAnsi="Arial"/>
        <w:color w:val="0000FF"/>
        <w:sz w:val="20"/>
      </w:rPr>
      <w:fldChar w:fldCharType="separate"/>
    </w:r>
    <w:r>
      <w:rPr>
        <w:rStyle w:val="PageNumber"/>
        <w:rFonts w:ascii="Arial" w:hAnsi="Arial"/>
        <w:noProof/>
        <w:color w:val="0000FF"/>
        <w:sz w:val="20"/>
      </w:rPr>
      <w:t>2</w:t>
    </w:r>
    <w:r>
      <w:rPr>
        <w:rStyle w:val="PageNumber"/>
        <w:rFonts w:ascii="Arial" w:hAnsi="Arial"/>
        <w:color w:val="0000FF"/>
        <w:sz w:val="20"/>
      </w:rPr>
      <w:fldChar w:fldCharType="end"/>
    </w:r>
  </w:p>
  <w:p w14:paraId="553CA739" w14:textId="77777777" w:rsidR="0036619E" w:rsidRDefault="00366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7EC4" w14:textId="77777777" w:rsidR="0036619E" w:rsidRDefault="00D9584B">
    <w:pPr>
      <w:pStyle w:val="Footer"/>
      <w:pBdr>
        <w:top w:val="single" w:sz="18" w:space="1" w:color="auto"/>
      </w:pBdr>
      <w:tabs>
        <w:tab w:val="clear" w:pos="8306"/>
        <w:tab w:val="right" w:pos="8931"/>
      </w:tabs>
      <w:rPr>
        <w:rFonts w:ascii="Arial" w:hAnsi="Arial"/>
        <w:color w:val="0000FF"/>
        <w:sz w:val="20"/>
      </w:rPr>
    </w:pPr>
    <w:bookmarkStart w:id="0" w:name="OLE_LINK1"/>
    <w:r>
      <w:rPr>
        <w:rFonts w:ascii="Arial" w:hAnsi="Arial"/>
        <w:color w:val="0000FF"/>
        <w:sz w:val="16"/>
      </w:rPr>
      <w:t xml:space="preserve">Australian Medical Association Limited ABN 37 008 426 793 </w:t>
    </w:r>
    <w:bookmarkEnd w:id="0"/>
    <w:r>
      <w:rPr>
        <w:rFonts w:ascii="Arial" w:hAnsi="Arial"/>
        <w:color w:val="0000FF"/>
        <w:sz w:val="16"/>
      </w:rPr>
      <w:tab/>
    </w:r>
    <w:r>
      <w:rPr>
        <w:rStyle w:val="PageNumber"/>
        <w:rFonts w:ascii="Arial" w:hAnsi="Arial"/>
        <w:color w:val="0000FF"/>
        <w:sz w:val="20"/>
      </w:rPr>
      <w:fldChar w:fldCharType="begin"/>
    </w:r>
    <w:r>
      <w:rPr>
        <w:rStyle w:val="PageNumber"/>
        <w:rFonts w:ascii="Arial" w:hAnsi="Arial"/>
        <w:color w:val="0000FF"/>
        <w:sz w:val="20"/>
      </w:rPr>
      <w:instrText xml:space="preserve"> PAGE </w:instrText>
    </w:r>
    <w:r>
      <w:rPr>
        <w:rStyle w:val="PageNumber"/>
        <w:rFonts w:ascii="Arial" w:hAnsi="Arial"/>
        <w:color w:val="0000FF"/>
        <w:sz w:val="20"/>
      </w:rPr>
      <w:fldChar w:fldCharType="separate"/>
    </w:r>
    <w:r>
      <w:rPr>
        <w:rStyle w:val="PageNumber"/>
        <w:rFonts w:ascii="Arial" w:hAnsi="Arial"/>
        <w:noProof/>
        <w:color w:val="0000FF"/>
        <w:sz w:val="20"/>
      </w:rPr>
      <w:t>1</w:t>
    </w:r>
    <w:r>
      <w:rPr>
        <w:rStyle w:val="PageNumber"/>
        <w:rFonts w:ascii="Arial" w:hAnsi="Arial"/>
        <w:color w:val="0000F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C377" w14:textId="77777777" w:rsidR="002C1A33" w:rsidRDefault="002C1A33">
      <w:r>
        <w:separator/>
      </w:r>
    </w:p>
  </w:footnote>
  <w:footnote w:type="continuationSeparator" w:id="0">
    <w:p w14:paraId="0ECE47F8" w14:textId="77777777" w:rsidR="002C1A33" w:rsidRDefault="002C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B0A9" w14:textId="497CDF01" w:rsidR="0036619E" w:rsidRDefault="000038CA">
    <w:pPr>
      <w:pStyle w:val="Header"/>
      <w:pBdr>
        <w:bottom w:val="single" w:sz="18" w:space="1" w:color="auto"/>
      </w:pBdr>
      <w:jc w:val="center"/>
      <w:rPr>
        <w:rFonts w:ascii="Helvetica" w:hAnsi="Helvetica"/>
        <w:b/>
        <w:color w:val="0000FF"/>
        <w:sz w:val="16"/>
      </w:rPr>
    </w:pPr>
    <w:r>
      <w:rPr>
        <w:rFonts w:ascii="Helvetica" w:hAnsi="Helvetica"/>
        <w:b/>
        <w:noProof/>
        <w:color w:val="0000FF"/>
        <w:sz w:val="16"/>
      </w:rPr>
      <w:drawing>
        <wp:anchor distT="0" distB="0" distL="114300" distR="114300" simplePos="0" relativeHeight="251658240" behindDoc="0" locked="0" layoutInCell="0" allowOverlap="1" wp14:anchorId="0B305B26" wp14:editId="21EAD868">
          <wp:simplePos x="0" y="0"/>
          <wp:positionH relativeFrom="column">
            <wp:posOffset>0</wp:posOffset>
          </wp:positionH>
          <wp:positionV relativeFrom="paragraph">
            <wp:posOffset>0</wp:posOffset>
          </wp:positionV>
          <wp:extent cx="548640" cy="4210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421005"/>
                  </a:xfrm>
                  <a:prstGeom prst="rect">
                    <a:avLst/>
                  </a:prstGeom>
                  <a:noFill/>
                </pic:spPr>
              </pic:pic>
            </a:graphicData>
          </a:graphic>
          <wp14:sizeRelH relativeFrom="page">
            <wp14:pctWidth>0</wp14:pctWidth>
          </wp14:sizeRelH>
          <wp14:sizeRelV relativeFrom="page">
            <wp14:pctHeight>0</wp14:pctHeight>
          </wp14:sizeRelV>
        </wp:anchor>
      </w:drawing>
    </w:r>
  </w:p>
  <w:p w14:paraId="17831718" w14:textId="77777777" w:rsidR="0036619E" w:rsidRDefault="00D9584B">
    <w:pPr>
      <w:pStyle w:val="Header"/>
      <w:pBdr>
        <w:bottom w:val="single" w:sz="18" w:space="1" w:color="auto"/>
      </w:pBdr>
      <w:jc w:val="right"/>
      <w:rPr>
        <w:rFonts w:ascii="Arial" w:hAnsi="Arial"/>
        <w:b/>
        <w:color w:val="0000FF"/>
        <w:sz w:val="28"/>
      </w:rPr>
    </w:pPr>
    <w:r>
      <w:rPr>
        <w:rFonts w:ascii="Arial" w:hAnsi="Arial"/>
        <w:b/>
        <w:color w:val="0000FF"/>
        <w:sz w:val="28"/>
      </w:rPr>
      <w:t>AMA Position Statement</w:t>
    </w:r>
  </w:p>
  <w:p w14:paraId="1B19A313" w14:textId="77777777" w:rsidR="0036619E" w:rsidRDefault="0036619E">
    <w:pPr>
      <w:pStyle w:val="Header"/>
      <w:pBdr>
        <w:bottom w:val="single" w:sz="18" w:space="1" w:color="auto"/>
      </w:pBdr>
      <w:jc w:val="center"/>
      <w:rPr>
        <w:rFonts w:ascii="Helvetica" w:hAnsi="Helvetica"/>
        <w:b/>
        <w:color w:val="0000FF"/>
        <w:sz w:val="16"/>
      </w:rPr>
    </w:pPr>
  </w:p>
  <w:p w14:paraId="4191E1F3" w14:textId="77777777" w:rsidR="0036619E" w:rsidRDefault="00366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B3A1" w14:textId="6CA514BE" w:rsidR="0036619E" w:rsidRDefault="000038CA">
    <w:pPr>
      <w:pStyle w:val="Header"/>
      <w:pBdr>
        <w:bottom w:val="single" w:sz="18" w:space="1" w:color="auto"/>
      </w:pBdr>
      <w:jc w:val="center"/>
      <w:rPr>
        <w:rFonts w:ascii="Helvetica" w:hAnsi="Helvetica"/>
        <w:b/>
        <w:color w:val="0000FF"/>
        <w:sz w:val="16"/>
      </w:rPr>
    </w:pPr>
    <w:r>
      <w:rPr>
        <w:rFonts w:ascii="Helvetica" w:hAnsi="Helvetica"/>
        <w:b/>
        <w:noProof/>
        <w:color w:val="0000FF"/>
        <w:sz w:val="16"/>
      </w:rPr>
      <w:drawing>
        <wp:anchor distT="0" distB="0" distL="114300" distR="114300" simplePos="0" relativeHeight="251657216" behindDoc="0" locked="0" layoutInCell="0" allowOverlap="1" wp14:anchorId="59258AD5" wp14:editId="5837B845">
          <wp:simplePos x="0" y="0"/>
          <wp:positionH relativeFrom="column">
            <wp:posOffset>0</wp:posOffset>
          </wp:positionH>
          <wp:positionV relativeFrom="paragraph">
            <wp:posOffset>0</wp:posOffset>
          </wp:positionV>
          <wp:extent cx="548640" cy="4210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421005"/>
                  </a:xfrm>
                  <a:prstGeom prst="rect">
                    <a:avLst/>
                  </a:prstGeom>
                  <a:noFill/>
                </pic:spPr>
              </pic:pic>
            </a:graphicData>
          </a:graphic>
          <wp14:sizeRelH relativeFrom="page">
            <wp14:pctWidth>0</wp14:pctWidth>
          </wp14:sizeRelH>
          <wp14:sizeRelV relativeFrom="page">
            <wp14:pctHeight>0</wp14:pctHeight>
          </wp14:sizeRelV>
        </wp:anchor>
      </w:drawing>
    </w:r>
  </w:p>
  <w:p w14:paraId="78452BBC" w14:textId="77777777" w:rsidR="0036619E" w:rsidRDefault="00D9584B">
    <w:pPr>
      <w:pStyle w:val="Header"/>
      <w:pBdr>
        <w:bottom w:val="single" w:sz="18" w:space="1" w:color="auto"/>
      </w:pBdr>
      <w:jc w:val="right"/>
      <w:rPr>
        <w:rFonts w:ascii="Arial" w:hAnsi="Arial"/>
        <w:b/>
        <w:color w:val="0000FF"/>
        <w:sz w:val="28"/>
      </w:rPr>
    </w:pPr>
    <w:r>
      <w:rPr>
        <w:rFonts w:ascii="Arial" w:hAnsi="Arial"/>
        <w:b/>
        <w:color w:val="0000FF"/>
        <w:sz w:val="28"/>
      </w:rPr>
      <w:t>AMA Position Statement</w:t>
    </w:r>
  </w:p>
  <w:p w14:paraId="10ABBC11" w14:textId="77777777" w:rsidR="0036619E" w:rsidRDefault="0036619E">
    <w:pPr>
      <w:pStyle w:val="Header"/>
      <w:pBdr>
        <w:bottom w:val="single" w:sz="18" w:space="1" w:color="auto"/>
      </w:pBdr>
      <w:jc w:val="center"/>
      <w:rPr>
        <w:rFonts w:ascii="Helvetica" w:hAnsi="Helvetica"/>
        <w:b/>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DBD"/>
    <w:multiLevelType w:val="multilevel"/>
    <w:tmpl w:val="BE22AB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679"/>
      </w:pPr>
      <w:rPr>
        <w:rFonts w:hint="default"/>
        <w:b w:val="0"/>
        <w:i w:val="0"/>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3E73105"/>
    <w:multiLevelType w:val="multilevel"/>
    <w:tmpl w:val="B7F488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771C59"/>
    <w:multiLevelType w:val="multilevel"/>
    <w:tmpl w:val="904638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7D4F46"/>
    <w:multiLevelType w:val="multilevel"/>
    <w:tmpl w:val="CCB6EE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1651E3"/>
    <w:multiLevelType w:val="multilevel"/>
    <w:tmpl w:val="245667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679"/>
      </w:pPr>
      <w:rPr>
        <w:rFonts w:hint="default"/>
        <w:b w:val="0"/>
        <w:i w:val="0"/>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A2214F4"/>
    <w:multiLevelType w:val="hybridMultilevel"/>
    <w:tmpl w:val="E494AAA2"/>
    <w:lvl w:ilvl="0" w:tplc="7A5ED95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7139CA"/>
    <w:multiLevelType w:val="hybridMultilevel"/>
    <w:tmpl w:val="76E002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9F6F24"/>
    <w:multiLevelType w:val="hybridMultilevel"/>
    <w:tmpl w:val="35CAF81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6607587F"/>
    <w:multiLevelType w:val="multilevel"/>
    <w:tmpl w:val="245667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679"/>
      </w:pPr>
      <w:rPr>
        <w:rFonts w:hint="default"/>
        <w:b w:val="0"/>
        <w:i w:val="0"/>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F0E32FE"/>
    <w:multiLevelType w:val="singleLevel"/>
    <w:tmpl w:val="AA2A91F0"/>
    <w:lvl w:ilvl="0">
      <w:start w:val="1"/>
      <w:numFmt w:val="decimal"/>
      <w:lvlText w:val="%1."/>
      <w:lvlJc w:val="left"/>
      <w:pPr>
        <w:tabs>
          <w:tab w:val="num" w:pos="360"/>
        </w:tabs>
        <w:ind w:left="360" w:hanging="360"/>
      </w:pPr>
      <w:rPr>
        <w:rFonts w:ascii="Arial" w:hAnsi="Arial" w:hint="default"/>
        <w:b/>
        <w:i w:val="0"/>
        <w:sz w:val="20"/>
      </w:rPr>
    </w:lvl>
  </w:abstractNum>
  <w:abstractNum w:abstractNumId="10" w15:restartNumberingAfterBreak="0">
    <w:nsid w:val="7FE54049"/>
    <w:multiLevelType w:val="hybridMultilevel"/>
    <w:tmpl w:val="CB202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8636839">
    <w:abstractNumId w:val="9"/>
  </w:num>
  <w:num w:numId="2" w16cid:durableId="266238782">
    <w:abstractNumId w:val="0"/>
  </w:num>
  <w:num w:numId="3" w16cid:durableId="1143427790">
    <w:abstractNumId w:val="7"/>
  </w:num>
  <w:num w:numId="4" w16cid:durableId="1557351527">
    <w:abstractNumId w:val="6"/>
  </w:num>
  <w:num w:numId="5" w16cid:durableId="522671089">
    <w:abstractNumId w:val="10"/>
  </w:num>
  <w:num w:numId="6" w16cid:durableId="1286741291">
    <w:abstractNumId w:val="5"/>
  </w:num>
  <w:num w:numId="7" w16cid:durableId="1004434751">
    <w:abstractNumId w:val="8"/>
  </w:num>
  <w:num w:numId="8" w16cid:durableId="1525514116">
    <w:abstractNumId w:val="4"/>
  </w:num>
  <w:num w:numId="9" w16cid:durableId="595945648">
    <w:abstractNumId w:val="3"/>
  </w:num>
  <w:num w:numId="10" w16cid:durableId="663975594">
    <w:abstractNumId w:val="2"/>
  </w:num>
  <w:num w:numId="11" w16cid:durableId="1261110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33"/>
    <w:rsid w:val="000038CA"/>
    <w:rsid w:val="001D451E"/>
    <w:rsid w:val="002C1A33"/>
    <w:rsid w:val="0036619E"/>
    <w:rsid w:val="00D9584B"/>
    <w:rsid w:val="00F5545D"/>
    <w:rsid w:val="074FF7FF"/>
    <w:rsid w:val="0F5AE28A"/>
    <w:rsid w:val="1BAB9011"/>
    <w:rsid w:val="26A1E16B"/>
    <w:rsid w:val="2C3E4E85"/>
    <w:rsid w:val="3D2F343F"/>
    <w:rsid w:val="455456B7"/>
    <w:rsid w:val="57C6D4E5"/>
    <w:rsid w:val="5A12A03A"/>
    <w:rsid w:val="5AFE75A7"/>
    <w:rsid w:val="5BC7719E"/>
    <w:rsid w:val="63A05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4FC3D1C5"/>
  <w15:chartTrackingRefBased/>
  <w15:docId w15:val="{50494D09-1E75-4447-8404-05CFE259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esGuide1">
    <w:name w:val="FeesGuide1"/>
    <w:basedOn w:val="Normal"/>
    <w:pPr>
      <w:jc w:val="center"/>
    </w:pPr>
    <w:rPr>
      <w:rFonts w:ascii="Helvetica-Narrow" w:hAnsi="Helvetica-Narrow"/>
      <w:b/>
      <w:sz w:val="72"/>
    </w:rPr>
  </w:style>
  <w:style w:type="paragraph" w:customStyle="1" w:styleId="FeesGuide2">
    <w:name w:val="FeesGuide2"/>
    <w:basedOn w:val="Normal"/>
    <w:pPr>
      <w:jc w:val="center"/>
    </w:pPr>
    <w:rPr>
      <w:rFonts w:ascii="Helvetica-Narrow" w:hAnsi="Helvetica-Narrow"/>
      <w:sz w:val="52"/>
    </w:rPr>
  </w:style>
  <w:style w:type="paragraph" w:customStyle="1" w:styleId="FeesGuide3">
    <w:name w:val="FeesGuide3"/>
    <w:basedOn w:val="Normal"/>
    <w:rPr>
      <w:b/>
      <w:sz w:val="20"/>
    </w:rPr>
  </w:style>
  <w:style w:type="paragraph" w:customStyle="1" w:styleId="FeesGuide4">
    <w:name w:val="FeesGuide4"/>
    <w:basedOn w:val="Normal"/>
    <w:rPr>
      <w:rFonts w:ascii="Times" w:hAnsi="Times"/>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rFonts w:ascii="Arial" w:hAnsi="Arial"/>
      <w:snapToGrid w:val="0"/>
      <w:color w:val="0000FF"/>
      <w:sz w:val="20"/>
    </w:rPr>
  </w:style>
  <w:style w:type="paragraph" w:styleId="BodyTextIndent">
    <w:name w:val="Body Text Indent"/>
    <w:basedOn w:val="Normal"/>
    <w:semiHidden/>
    <w:pPr>
      <w:tabs>
        <w:tab w:val="left" w:pos="426"/>
      </w:tabs>
      <w:ind w:left="786" w:hanging="426"/>
      <w:jc w:val="both"/>
    </w:pPr>
    <w:rPr>
      <w:rFonts w:ascii="Arial" w:hAnsi="Arial"/>
    </w:rPr>
  </w:style>
  <w:style w:type="paragraph" w:styleId="BodyTextIndent2">
    <w:name w:val="Body Text Indent 2"/>
    <w:basedOn w:val="Normal"/>
    <w:semiHidden/>
    <w:pPr>
      <w:tabs>
        <w:tab w:val="left" w:pos="567"/>
      </w:tabs>
      <w:ind w:left="786" w:hanging="360"/>
      <w:jc w:val="both"/>
    </w:pPr>
    <w:rPr>
      <w:rFonts w:ascii="Arial" w:hAnsi="Arial"/>
    </w:rPr>
  </w:style>
  <w:style w:type="paragraph" w:styleId="FootnoteText">
    <w:name w:val="footnote text"/>
    <w:basedOn w:val="Normal"/>
    <w:semiHidden/>
    <w:rPr>
      <w:rFonts w:ascii="Times" w:hAnsi="Times"/>
      <w:sz w:val="20"/>
    </w:rPr>
  </w:style>
  <w:style w:type="character" w:styleId="FootnoteReference">
    <w:name w:val="footnote reference"/>
    <w:basedOn w:val="DefaultParagraphFont"/>
    <w:semiHidden/>
    <w:rPr>
      <w:vertAlign w:val="superscript"/>
    </w:rPr>
  </w:style>
  <w:style w:type="paragraph" w:styleId="BodyText2">
    <w:name w:val="Body Text 2"/>
    <w:basedOn w:val="Normal"/>
    <w:semiHidden/>
    <w:rPr>
      <w:rFonts w:ascii="Arial" w:hAnsi="Arial" w:cs="Arial"/>
      <w:i/>
      <w:iCs/>
      <w:sz w:val="20"/>
    </w:rPr>
  </w:style>
  <w:style w:type="paragraph" w:styleId="ListParagraph">
    <w:name w:val="List Paragraph"/>
    <w:basedOn w:val="Normal"/>
    <w:uiPriority w:val="34"/>
    <w:qFormat/>
    <w:rsid w:val="00F5545D"/>
    <w:pPr>
      <w:ind w:left="720"/>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com.au/index.php/articles/ama-position-statement-ethical-considerations-medical-practitioners-disaster-respon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anesco\OneDrive%20-%20Australian%20Medical%20Association\Desktop\Position%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e9c2d7-ecb1-4c54-a3f5-3332359082a7">
      <UserInfo>
        <DisplayName>Kae Imsirovic</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7574603E98E74080A0FA0B0015A523" ma:contentTypeVersion="13" ma:contentTypeDescription="Create a new document." ma:contentTypeScope="" ma:versionID="ca4542cb6ddefd128b77a1b5cf160bbb">
  <xsd:schema xmlns:xsd="http://www.w3.org/2001/XMLSchema" xmlns:xs="http://www.w3.org/2001/XMLSchema" xmlns:p="http://schemas.microsoft.com/office/2006/metadata/properties" xmlns:ns2="e4317d09-038d-40ef-ae80-7599e6d4046c" xmlns:ns3="64e9c2d7-ecb1-4c54-a3f5-3332359082a7" targetNamespace="http://schemas.microsoft.com/office/2006/metadata/properties" ma:root="true" ma:fieldsID="fe7c71b14399bd81ffef7de00149b62f" ns2:_="" ns3:_="">
    <xsd:import namespace="e4317d09-038d-40ef-ae80-7599e6d4046c"/>
    <xsd:import namespace="64e9c2d7-ecb1-4c54-a3f5-333235908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17d09-038d-40ef-ae80-7599e6d4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9c2d7-ecb1-4c54-a3f5-333235908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8C410F-1201-483C-9D10-DFBA548D64B7}">
  <ds:schemaRefs>
    <ds:schemaRef ds:uri="http://schemas.microsoft.com/sharepoint/v3/contenttype/forms"/>
  </ds:schemaRefs>
</ds:datastoreItem>
</file>

<file path=customXml/itemProps2.xml><?xml version="1.0" encoding="utf-8"?>
<ds:datastoreItem xmlns:ds="http://schemas.openxmlformats.org/officeDocument/2006/customXml" ds:itemID="{D9AD241F-8DBE-4FF4-A280-58914554BA3E}">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64e9c2d7-ecb1-4c54-a3f5-3332359082a7"/>
    <ds:schemaRef ds:uri="e4317d09-038d-40ef-ae80-7599e6d4046c"/>
    <ds:schemaRef ds:uri="http://www.w3.org/XML/1998/namespace"/>
    <ds:schemaRef ds:uri="http://purl.org/dc/elements/1.1/"/>
  </ds:schemaRefs>
</ds:datastoreItem>
</file>

<file path=customXml/itemProps3.xml><?xml version="1.0" encoding="utf-8"?>
<ds:datastoreItem xmlns:ds="http://schemas.openxmlformats.org/officeDocument/2006/customXml" ds:itemID="{034CE478-0F63-43D1-B046-895DF3E4E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17d09-038d-40ef-ae80-7599e6d4046c"/>
    <ds:schemaRef ds:uri="64e9c2d7-ecb1-4c54-a3f5-333235908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EDE57-80D3-437A-B99C-851EF084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Statement Template</Template>
  <TotalTime>1</TotalTime>
  <Pages>4</Pages>
  <Words>1602</Words>
  <Characters>9322</Characters>
  <Application>Microsoft Office Word</Application>
  <DocSecurity>0</DocSecurity>
  <Lines>77</Lines>
  <Paragraphs>21</Paragraphs>
  <ScaleCrop>false</ScaleCrop>
  <Company>Australian Medical Association</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Medical Records by Doctors Who Are Not Treating the Patients Concerned</dc:title>
  <dc:subject/>
  <dc:creator>Jay Zanesco</dc:creator>
  <cp:keywords/>
  <dc:description/>
  <cp:lastModifiedBy>Jay Zanesco</cp:lastModifiedBy>
  <cp:revision>5</cp:revision>
  <cp:lastPrinted>2002-10-04T08:04:00Z</cp:lastPrinted>
  <dcterms:created xsi:type="dcterms:W3CDTF">2022-04-28T05:11:00Z</dcterms:created>
  <dcterms:modified xsi:type="dcterms:W3CDTF">2022-06-14T23:49:00Z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0x010100637574603E98E74080A0FA0B0015A523</vt:lpwstr>
  </property>
</Properties>
</file>